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958B" w14:textId="3F9F35D7" w:rsidR="001E6F6E" w:rsidRPr="0067784D" w:rsidRDefault="0067784D" w:rsidP="00466D13">
      <w:pPr>
        <w:pStyle w:val="Title"/>
      </w:pPr>
      <w:bookmarkStart w:id="0" w:name="_Toc116477004"/>
      <w:r w:rsidRPr="0067784D">
        <w:t xml:space="preserve">RDA Hume Business Plan </w:t>
      </w:r>
      <w:bookmarkEnd w:id="0"/>
      <w:r>
        <w:t>202</w:t>
      </w:r>
      <w:r w:rsidR="000D06AC">
        <w:t>4</w:t>
      </w:r>
      <w:r>
        <w:t>-2</w:t>
      </w:r>
      <w:r w:rsidR="000D06AC">
        <w:t>5</w:t>
      </w:r>
      <w:bookmarkStart w:id="1" w:name="_Toc116477005"/>
    </w:p>
    <w:p w14:paraId="4B9AF5B3" w14:textId="1A585CD9" w:rsidR="001E6F6E" w:rsidRPr="001E6F6E" w:rsidRDefault="001E6F6E" w:rsidP="00466D13">
      <w:pPr>
        <w:pStyle w:val="Heading1"/>
      </w:pPr>
      <w:r w:rsidRPr="001E6F6E">
        <w:t>Chair</w:t>
      </w:r>
      <w:r w:rsidR="005D0681">
        <w:t>’</w:t>
      </w:r>
      <w:r w:rsidRPr="001E6F6E">
        <w:t xml:space="preserve">s </w:t>
      </w:r>
      <w:r w:rsidR="00EF275B" w:rsidRPr="001E6F6E">
        <w:t>Foreword</w:t>
      </w:r>
    </w:p>
    <w:p w14:paraId="32F39886" w14:textId="68452092" w:rsidR="000D06AC" w:rsidRPr="00F70FFF" w:rsidRDefault="00777F67" w:rsidP="00466D13">
      <w:r w:rsidRPr="00AD5CDB">
        <w:t xml:space="preserve">In the </w:t>
      </w:r>
      <w:r w:rsidR="00FB76A0">
        <w:t>2 years</w:t>
      </w:r>
      <w:r w:rsidRPr="00AD5CDB">
        <w:t xml:space="preserve"> since I was appointed chair of Regional Development Australia’s </w:t>
      </w:r>
      <w:r w:rsidR="003D7687" w:rsidRPr="00AD5CDB">
        <w:t>Hume Region,</w:t>
      </w:r>
      <w:r w:rsidRPr="00AD5CDB">
        <w:t xml:space="preserve"> I am delighted to have been supported by a </w:t>
      </w:r>
      <w:r w:rsidR="00AC5567" w:rsidRPr="00AD5CDB">
        <w:t>committee</w:t>
      </w:r>
      <w:r w:rsidRPr="00AD5CDB">
        <w:t xml:space="preserve"> that reflects the unique variety of the </w:t>
      </w:r>
      <w:r w:rsidR="00F70FFF" w:rsidRPr="00AD5CDB">
        <w:t>region</w:t>
      </w:r>
      <w:r w:rsidR="00F70FFF">
        <w:t>.</w:t>
      </w:r>
      <w:r w:rsidR="00F70FFF" w:rsidRPr="0029545E">
        <w:t xml:space="preserve"> In</w:t>
      </w:r>
      <w:r w:rsidR="0029545E" w:rsidRPr="0029545E">
        <w:t xml:space="preserve"> 2024 we welcome 5 new </w:t>
      </w:r>
      <w:r w:rsidR="000D06AC" w:rsidRPr="00F70FFF">
        <w:t xml:space="preserve">committee members </w:t>
      </w:r>
      <w:r w:rsidR="006A0124">
        <w:t xml:space="preserve">who </w:t>
      </w:r>
      <w:r w:rsidR="000D06AC" w:rsidRPr="00F70FFF">
        <w:t xml:space="preserve">are passionate and dedicated local community, industry and business leaders who </w:t>
      </w:r>
      <w:r w:rsidR="006A0124">
        <w:t xml:space="preserve">will assist in </w:t>
      </w:r>
      <w:r w:rsidR="000D06AC" w:rsidRPr="00F70FFF">
        <w:t>provid</w:t>
      </w:r>
      <w:r w:rsidR="006A0124">
        <w:t>ing</w:t>
      </w:r>
      <w:r w:rsidR="000D06AC" w:rsidRPr="00F70FFF">
        <w:t xml:space="preserve"> a vital link between regional stakeholders and all levels of government. Our RDA committee members </w:t>
      </w:r>
      <w:r w:rsidR="000803A6">
        <w:t xml:space="preserve">continue to </w:t>
      </w:r>
      <w:r w:rsidR="000D06AC" w:rsidRPr="00F70FFF">
        <w:t>act as real-time advisers to government on critical regional development issues, opportunities and challenges in the region.</w:t>
      </w:r>
      <w:r w:rsidR="00215B5A">
        <w:t xml:space="preserve"> </w:t>
      </w:r>
      <w:r w:rsidR="00215B5A" w:rsidRPr="00AD5CDB">
        <w:t>Each member brings with them a particular skill set and an array of knowledge and expertise.</w:t>
      </w:r>
    </w:p>
    <w:p w14:paraId="064D21D5" w14:textId="7A127B72" w:rsidR="00777F67" w:rsidRPr="00AD5CDB" w:rsidRDefault="00777F67" w:rsidP="00466D13">
      <w:r w:rsidRPr="00AD5CDB">
        <w:t>The role of RDA Hume is to raise the profile of the region and its natural assets, assist with economic development,</w:t>
      </w:r>
      <w:r w:rsidR="001923BB">
        <w:t xml:space="preserve"> </w:t>
      </w:r>
      <w:r w:rsidRPr="00AD5CDB">
        <w:t>continually</w:t>
      </w:r>
      <w:r w:rsidR="001923BB">
        <w:t xml:space="preserve"> engage</w:t>
      </w:r>
      <w:r w:rsidRPr="00AD5CDB">
        <w:t xml:space="preserve"> with our various communities and stakeholders, and to ensure commitment from all levels of government. </w:t>
      </w:r>
    </w:p>
    <w:p w14:paraId="5E039871" w14:textId="5B9FAC91" w:rsidR="00777F67" w:rsidRPr="00AD5CDB" w:rsidRDefault="00777F67" w:rsidP="00466D13">
      <w:r w:rsidRPr="00AD5CDB">
        <w:t>A major part of this is identifying key infrastructure investment priorities and being strong advocates for them.</w:t>
      </w:r>
      <w:r w:rsidR="00455948">
        <w:t xml:space="preserve"> </w:t>
      </w:r>
      <w:r w:rsidRPr="00AD5CDB">
        <w:t>We also work to support sustainable solutions for our region’s workforce — helping to address skills gaps and workforce shortages.</w:t>
      </w:r>
    </w:p>
    <w:p w14:paraId="7906049B" w14:textId="53FE9B32" w:rsidR="00777F67" w:rsidRPr="00AD5CDB" w:rsidRDefault="00777F67" w:rsidP="00466D13">
      <w:r w:rsidRPr="00AD5CDB">
        <w:t>RDA Hume is fortunate to be closely involved with all levels of government and we have tremendous support from elected representatives and officials throughout the region as well as in Melbourne and Canberra.</w:t>
      </w:r>
      <w:r w:rsidR="00455948">
        <w:t xml:space="preserve"> </w:t>
      </w:r>
      <w:r w:rsidRPr="00AD5CDB">
        <w:t xml:space="preserve">This allows us to speak with a combined voice on projects of common interest. It also ensures that we have a key role in directing state and federal investment to the appropriate impactful projects that maximise benefit to Hume.  </w:t>
      </w:r>
    </w:p>
    <w:p w14:paraId="55C9DC13" w14:textId="302B2002" w:rsidR="00777F67" w:rsidRPr="00AD5CDB" w:rsidRDefault="00777F67" w:rsidP="00466D13">
      <w:r w:rsidRPr="00AD5CDB">
        <w:t>RDA Hume collaborates with businesses, not-for-profit organisations and industry bodies to coordinate regional priorities and foster comparative advantages.</w:t>
      </w:r>
    </w:p>
    <w:p w14:paraId="4D941547" w14:textId="77777777" w:rsidR="00777F67" w:rsidRPr="00AD5CDB" w:rsidRDefault="00777F67" w:rsidP="00466D13">
      <w:r w:rsidRPr="00AD5CDB">
        <w:t>As you can read in this plan, this year we will continue to identify key sustainable investment priorities.</w:t>
      </w:r>
    </w:p>
    <w:p w14:paraId="583D304C" w14:textId="5574A3F0" w:rsidR="00777F67" w:rsidRDefault="00777F67" w:rsidP="00466D13">
      <w:r w:rsidRPr="00AD5CDB">
        <w:t>This includes housing with the delivery of a Hume Housing Prospectus</w:t>
      </w:r>
      <w:r w:rsidR="009C4F64">
        <w:t xml:space="preserve">, currently under review with </w:t>
      </w:r>
      <w:r w:rsidR="00CF2308">
        <w:t xml:space="preserve">various </w:t>
      </w:r>
      <w:r w:rsidR="00FC557E">
        <w:t>stakeholders</w:t>
      </w:r>
      <w:r w:rsidR="00792487">
        <w:t>,</w:t>
      </w:r>
      <w:r w:rsidRPr="00AD5CDB">
        <w:t xml:space="preserve"> that identifies viable solutions to address the housing situation.</w:t>
      </w:r>
    </w:p>
    <w:p w14:paraId="691C2EA6" w14:textId="4F605FA1" w:rsidR="00D13602" w:rsidRPr="00AD5CDB" w:rsidRDefault="00DD0540" w:rsidP="00466D13">
      <w:r>
        <w:t>There is also t</w:t>
      </w:r>
      <w:r w:rsidR="009363F1">
        <w:t xml:space="preserve">he need for </w:t>
      </w:r>
      <w:r w:rsidR="00F0191A">
        <w:t xml:space="preserve">undertaking </w:t>
      </w:r>
      <w:r w:rsidR="009363F1">
        <w:t>workforce planning</w:t>
      </w:r>
      <w:r w:rsidR="00F0191A">
        <w:t xml:space="preserve">, through </w:t>
      </w:r>
      <w:r w:rsidR="008E32D0">
        <w:t>regional partnerships, government and the private sector</w:t>
      </w:r>
      <w:r w:rsidR="00732597">
        <w:t xml:space="preserve">, with education providers and organisations to foster the development </w:t>
      </w:r>
      <w:r w:rsidR="005518D9">
        <w:t>of systems that drive innovation and support job growth</w:t>
      </w:r>
      <w:r w:rsidR="00F35D2E">
        <w:t xml:space="preserve"> in our region.</w:t>
      </w:r>
    </w:p>
    <w:p w14:paraId="5171DB11" w14:textId="675469CE" w:rsidR="00777F67" w:rsidRPr="00AD5CDB" w:rsidRDefault="00777F67" w:rsidP="00466D13">
      <w:r w:rsidRPr="00AD5CDB">
        <w:t>Another priority is a renewable energy future. We need to engage with industry on the issues, challenges and opportunities for energy transition and</w:t>
      </w:r>
      <w:r w:rsidR="00F35D2E">
        <w:t xml:space="preserve"> continue to</w:t>
      </w:r>
      <w:r w:rsidRPr="00AD5CDB">
        <w:t xml:space="preserve"> define our priorities and role.</w:t>
      </w:r>
    </w:p>
    <w:p w14:paraId="21F108B1" w14:textId="77777777" w:rsidR="00777F67" w:rsidRPr="00AD5CDB" w:rsidRDefault="00777F67" w:rsidP="00466D13">
      <w:r w:rsidRPr="00AD5CDB">
        <w:t>In the coming year, RDA Hume will continue to facilitate, engage and communicate. We will continually bring key people and organisations together to support the development of our regional economy by addressing key opportunities for growth.</w:t>
      </w:r>
    </w:p>
    <w:p w14:paraId="4EC25612" w14:textId="77777777" w:rsidR="00777F67" w:rsidRPr="00AD5CDB" w:rsidRDefault="00777F67" w:rsidP="00466D13">
      <w:r w:rsidRPr="00AD5CDB">
        <w:t>I look forward to your engagement and in particular your response and insights to this business plan.</w:t>
      </w:r>
    </w:p>
    <w:p w14:paraId="343E0995" w14:textId="68E8E1B9" w:rsidR="00AA3EDA" w:rsidRDefault="001A0084" w:rsidP="00777F67">
      <w:pPr>
        <w:spacing w:after="0" w:line="240" w:lineRule="auto"/>
        <w:rPr>
          <w:rFonts w:ascii="Calibri" w:hAnsi="Calibri" w:cs="Calibri"/>
        </w:rPr>
      </w:pPr>
      <w:r>
        <w:rPr>
          <w:rFonts w:ascii="Arial" w:hAnsi="Arial" w:cs="Arial"/>
          <w:noProof/>
          <w:sz w:val="20"/>
          <w:szCs w:val="20"/>
        </w:rPr>
        <w:lastRenderedPageBreak/>
        <w:drawing>
          <wp:inline distT="0" distB="0" distL="0" distR="0" wp14:anchorId="49286EEB" wp14:editId="639F6304">
            <wp:extent cx="975922" cy="4762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0180" cy="478328"/>
                    </a:xfrm>
                    <a:prstGeom prst="rect">
                      <a:avLst/>
                    </a:prstGeom>
                  </pic:spPr>
                </pic:pic>
              </a:graphicData>
            </a:graphic>
          </wp:inline>
        </w:drawing>
      </w:r>
    </w:p>
    <w:p w14:paraId="1CEDFDE8" w14:textId="77777777" w:rsidR="00AA3EDA" w:rsidRDefault="00AA3EDA" w:rsidP="00777F67">
      <w:pPr>
        <w:shd w:val="clear" w:color="auto" w:fill="FFFFFF"/>
        <w:spacing w:after="0" w:line="240" w:lineRule="auto"/>
        <w:outlineLvl w:val="1"/>
        <w:rPr>
          <w:rFonts w:ascii="Calibri" w:eastAsia="Times New Roman" w:hAnsi="Calibri" w:cs="Calibri"/>
          <w:color w:val="333333"/>
          <w:lang w:eastAsia="en-AU"/>
        </w:rPr>
      </w:pPr>
    </w:p>
    <w:p w14:paraId="02B1A8D9" w14:textId="3EA361DC" w:rsidR="00777F67" w:rsidRPr="00AD5CDB" w:rsidRDefault="00777F67" w:rsidP="00777F67">
      <w:pPr>
        <w:shd w:val="clear" w:color="auto" w:fill="FFFFFF"/>
        <w:spacing w:after="0" w:line="240" w:lineRule="auto"/>
        <w:outlineLvl w:val="1"/>
        <w:rPr>
          <w:rFonts w:ascii="Calibri" w:eastAsia="Times New Roman" w:hAnsi="Calibri" w:cs="Calibri"/>
          <w:color w:val="333333"/>
          <w:lang w:eastAsia="en-AU"/>
        </w:rPr>
      </w:pPr>
      <w:r w:rsidRPr="00AD5CDB">
        <w:rPr>
          <w:rFonts w:ascii="Calibri" w:eastAsia="Times New Roman" w:hAnsi="Calibri" w:cs="Calibri"/>
          <w:color w:val="333333"/>
          <w:lang w:eastAsia="en-AU"/>
        </w:rPr>
        <w:t>Eliza Brown</w:t>
      </w:r>
    </w:p>
    <w:p w14:paraId="74A72E52" w14:textId="77777777" w:rsidR="00777F67" w:rsidRDefault="00777F67" w:rsidP="00777F67">
      <w:pPr>
        <w:spacing w:after="0" w:line="240" w:lineRule="auto"/>
        <w:rPr>
          <w:rFonts w:ascii="Calibri" w:hAnsi="Calibri" w:cs="Calibri"/>
        </w:rPr>
      </w:pPr>
      <w:r w:rsidRPr="00AD5CDB">
        <w:rPr>
          <w:rFonts w:ascii="Calibri" w:hAnsi="Calibri" w:cs="Calibri"/>
        </w:rPr>
        <w:t>Chair - RDA Hume</w:t>
      </w:r>
    </w:p>
    <w:p w14:paraId="2D3C9AD9" w14:textId="77777777" w:rsidR="001E6F6E" w:rsidRDefault="001E6F6E" w:rsidP="001E6F6E">
      <w:pPr>
        <w:pStyle w:val="Heading2"/>
        <w:rPr>
          <w:color w:val="auto"/>
          <w:sz w:val="16"/>
          <w:szCs w:val="16"/>
        </w:rPr>
      </w:pPr>
    </w:p>
    <w:p w14:paraId="0F372CDD" w14:textId="59E15198" w:rsidR="00447D11" w:rsidRDefault="003F6610" w:rsidP="00466D13">
      <w:pPr>
        <w:pStyle w:val="Heading1"/>
      </w:pPr>
      <w:r>
        <w:t>Acknowledgement of Country</w:t>
      </w:r>
    </w:p>
    <w:p w14:paraId="736760C1" w14:textId="77777777" w:rsidR="00447D11" w:rsidRPr="0067784D" w:rsidRDefault="00447D11" w:rsidP="00466D13">
      <w:r w:rsidRPr="0067784D">
        <w:t>We acknowledge the traditional custodians of the land on which we live.</w:t>
      </w:r>
    </w:p>
    <w:p w14:paraId="5FF7B829" w14:textId="77777777" w:rsidR="00447D11" w:rsidRPr="0067784D" w:rsidRDefault="00447D11" w:rsidP="00466D13">
      <w:r w:rsidRPr="0067784D">
        <w:t>We recognise their continuing connection to land, waters and culture and pay our respects to their Elders past, present and emerging.</w:t>
      </w:r>
    </w:p>
    <w:p w14:paraId="3D60DF6D" w14:textId="77777777" w:rsidR="00447D11" w:rsidRPr="0067784D" w:rsidRDefault="00447D11" w:rsidP="00466D13">
      <w:pPr>
        <w:rPr>
          <w:rFonts w:ascii="Calibri" w:hAnsi="Calibri" w:cs="Calibri"/>
        </w:rPr>
      </w:pPr>
      <w:r w:rsidRPr="0067784D">
        <w:rPr>
          <w:rFonts w:ascii="Calibri" w:hAnsi="Calibri" w:cs="Calibri"/>
        </w:rPr>
        <w:t>We support initiatives that encourage greater unity, knowledge, cultural awareness and respect for the first occupants of our land.</w:t>
      </w:r>
    </w:p>
    <w:bookmarkEnd w:id="1"/>
    <w:p w14:paraId="22D3565F" w14:textId="39993FA0" w:rsidR="00190056" w:rsidRPr="00D45674" w:rsidRDefault="0067784D" w:rsidP="00190056">
      <w:pPr>
        <w:rPr>
          <w:rFonts w:ascii="Calibri" w:hAnsi="Calibri" w:cs="Calibri"/>
          <w:color w:val="000000" w:themeColor="text1"/>
        </w:rPr>
      </w:pPr>
      <w:r w:rsidRPr="00D45674">
        <w:rPr>
          <w:rFonts w:ascii="Calibri" w:hAnsi="Calibri" w:cs="Calibri"/>
          <w:color w:val="000000" w:themeColor="text1"/>
        </w:rPr>
        <w:t xml:space="preserve">The Hume region is home to the largest population of First Nations people in Victoria outside of Melbourne. </w:t>
      </w:r>
      <w:r w:rsidR="00363338" w:rsidRPr="00D45674">
        <w:rPr>
          <w:rFonts w:ascii="Calibri" w:hAnsi="Calibri" w:cs="Calibri"/>
          <w:color w:val="000000" w:themeColor="text1"/>
        </w:rPr>
        <w:t xml:space="preserve">Hume is home to two Registered Aboriginal Parties </w:t>
      </w:r>
      <w:r w:rsidR="00167545" w:rsidRPr="00D45674">
        <w:rPr>
          <w:rFonts w:ascii="Calibri" w:hAnsi="Calibri" w:cs="Calibri"/>
          <w:color w:val="000000" w:themeColor="text1"/>
        </w:rPr>
        <w:t xml:space="preserve">– the Yorta </w:t>
      </w:r>
      <w:proofErr w:type="spellStart"/>
      <w:r w:rsidR="00167545" w:rsidRPr="00D45674">
        <w:rPr>
          <w:rFonts w:ascii="Calibri" w:hAnsi="Calibri" w:cs="Calibri"/>
          <w:color w:val="000000" w:themeColor="text1"/>
        </w:rPr>
        <w:t>Yorta</w:t>
      </w:r>
      <w:proofErr w:type="spellEnd"/>
      <w:r w:rsidR="00167545" w:rsidRPr="00D45674">
        <w:rPr>
          <w:rFonts w:ascii="Calibri" w:hAnsi="Calibri" w:cs="Calibri"/>
          <w:color w:val="000000" w:themeColor="text1"/>
        </w:rPr>
        <w:t xml:space="preserve"> Nation Aboriginal Corporation and the </w:t>
      </w:r>
      <w:proofErr w:type="spellStart"/>
      <w:r w:rsidR="00167545" w:rsidRPr="00D45674">
        <w:rPr>
          <w:rFonts w:ascii="Calibri" w:hAnsi="Calibri" w:cs="Calibri"/>
          <w:color w:val="000000" w:themeColor="text1"/>
        </w:rPr>
        <w:t>Taungurung</w:t>
      </w:r>
      <w:proofErr w:type="spellEnd"/>
      <w:r w:rsidR="00167545" w:rsidRPr="00D45674">
        <w:rPr>
          <w:rFonts w:ascii="Calibri" w:hAnsi="Calibri" w:cs="Calibri"/>
          <w:color w:val="000000" w:themeColor="text1"/>
        </w:rPr>
        <w:t xml:space="preserve"> Land and Water Council. </w:t>
      </w:r>
    </w:p>
    <w:p w14:paraId="0421B1C3" w14:textId="77777777" w:rsidR="0067784D" w:rsidRDefault="0067784D" w:rsidP="0067784D">
      <w:pPr>
        <w:spacing w:line="240" w:lineRule="auto"/>
        <w:rPr>
          <w:rFonts w:ascii="Calibri" w:hAnsi="Calibri" w:cs="Calibri"/>
        </w:rPr>
      </w:pPr>
      <w:r w:rsidRPr="00D45674">
        <w:rPr>
          <w:rFonts w:ascii="Calibri" w:hAnsi="Calibri" w:cs="Calibri"/>
          <w:color w:val="000000" w:themeColor="text1"/>
        </w:rPr>
        <w:t xml:space="preserve">RDA </w:t>
      </w:r>
      <w:r w:rsidRPr="001A0ACC">
        <w:rPr>
          <w:rFonts w:ascii="Calibri" w:hAnsi="Calibri" w:cs="Calibri"/>
        </w:rPr>
        <w:t>Hume works closely with First Nations organisations</w:t>
      </w:r>
      <w:r w:rsidRPr="001A0ACC">
        <w:rPr>
          <w:rFonts w:ascii="Calibri" w:hAnsi="Calibri" w:cs="Calibri"/>
          <w:i/>
          <w:iCs/>
        </w:rPr>
        <w:t xml:space="preserve"> </w:t>
      </w:r>
      <w:r w:rsidRPr="001A0ACC">
        <w:rPr>
          <w:rFonts w:ascii="Calibri" w:hAnsi="Calibri" w:cs="Calibri"/>
        </w:rPr>
        <w:t>to encourage stronger community links and local representation and build shared prosperity in the region.</w:t>
      </w:r>
    </w:p>
    <w:p w14:paraId="07B13781" w14:textId="77777777" w:rsidR="00447D11" w:rsidRDefault="00447D11" w:rsidP="0067784D">
      <w:pPr>
        <w:spacing w:line="240" w:lineRule="auto"/>
        <w:rPr>
          <w:rFonts w:ascii="Calibri" w:hAnsi="Calibri" w:cs="Calibri"/>
        </w:rPr>
      </w:pPr>
    </w:p>
    <w:p w14:paraId="616DED66" w14:textId="528BA580" w:rsidR="00746396" w:rsidRPr="00746396" w:rsidRDefault="00746396" w:rsidP="00466D13">
      <w:pPr>
        <w:pStyle w:val="Heading1"/>
      </w:pPr>
      <w:r w:rsidRPr="00746396">
        <w:t xml:space="preserve">The Hume Region </w:t>
      </w:r>
    </w:p>
    <w:p w14:paraId="1BFEEDF8" w14:textId="77777777" w:rsidR="00746396" w:rsidRDefault="00746396" w:rsidP="00746396">
      <w:pPr>
        <w:pStyle w:val="NormalWeb"/>
        <w:shd w:val="clear" w:color="auto" w:fill="FFFFFF"/>
        <w:spacing w:before="0" w:beforeAutospacing="0" w:after="150" w:afterAutospacing="0"/>
        <w:rPr>
          <w:rFonts w:ascii="Calibri" w:eastAsiaTheme="minorEastAsia" w:hAnsi="Calibri" w:cs="Calibri"/>
          <w:sz w:val="22"/>
          <w:szCs w:val="20"/>
          <w:lang w:eastAsia="en-US"/>
        </w:rPr>
      </w:pPr>
      <w:r w:rsidRPr="0067784D">
        <w:rPr>
          <w:rFonts w:ascii="Calibri" w:eastAsiaTheme="minorEastAsia" w:hAnsi="Calibri" w:cs="Calibri"/>
          <w:sz w:val="22"/>
          <w:szCs w:val="20"/>
          <w:lang w:eastAsia="en-US"/>
        </w:rPr>
        <w:t xml:space="preserve">The Hume Region has a population of over </w:t>
      </w:r>
      <w:r>
        <w:rPr>
          <w:rFonts w:ascii="Calibri" w:eastAsiaTheme="minorEastAsia" w:hAnsi="Calibri" w:cs="Calibri"/>
          <w:sz w:val="22"/>
          <w:szCs w:val="20"/>
          <w:lang w:eastAsia="en-US"/>
        </w:rPr>
        <w:t>300,000 people and continues to be fast growing with</w:t>
      </w:r>
      <w:r w:rsidRPr="0053115F">
        <w:rPr>
          <w:rFonts w:ascii="Calibri" w:eastAsiaTheme="minorEastAsia" w:hAnsi="Calibri" w:cs="Calibri"/>
          <w:sz w:val="22"/>
          <w:szCs w:val="20"/>
          <w:lang w:eastAsia="en-US"/>
        </w:rPr>
        <w:t xml:space="preserve"> a social and cultural fabric and heritage to match its natural beauty. </w:t>
      </w:r>
    </w:p>
    <w:p w14:paraId="1DFBF6F2" w14:textId="77777777" w:rsidR="00746396" w:rsidRDefault="00746396" w:rsidP="00746396">
      <w:pPr>
        <w:pStyle w:val="NormalWeb"/>
        <w:shd w:val="clear" w:color="auto" w:fill="FFFFFF" w:themeFill="background1"/>
        <w:spacing w:before="0" w:beforeAutospacing="0" w:after="150" w:afterAutospacing="0"/>
        <w:rPr>
          <w:rFonts w:ascii="Calibri" w:eastAsiaTheme="minorEastAsia" w:hAnsi="Calibri" w:cs="Calibri"/>
          <w:sz w:val="22"/>
          <w:szCs w:val="22"/>
          <w:lang w:eastAsia="en-US"/>
        </w:rPr>
      </w:pPr>
      <w:r w:rsidRPr="15A9BCB3">
        <w:rPr>
          <w:rFonts w:ascii="Calibri" w:eastAsiaTheme="minorEastAsia" w:hAnsi="Calibri" w:cs="Calibri"/>
          <w:sz w:val="22"/>
          <w:szCs w:val="22"/>
          <w:lang w:eastAsia="en-US"/>
        </w:rPr>
        <w:t xml:space="preserve">Renowned for world-class wines and gourmet food, the region is woven together by the Murray, Goulburn, Broken, Ovens, King and Kiewa Rivers – all vital to sustaining a rich environment, economy and lifestyle. </w:t>
      </w:r>
    </w:p>
    <w:p w14:paraId="663D7010" w14:textId="3EBD8331" w:rsidR="00746396" w:rsidRDefault="00746396" w:rsidP="00746396">
      <w:pPr>
        <w:pStyle w:val="NormalWeb"/>
        <w:shd w:val="clear" w:color="auto" w:fill="FFFFFF"/>
        <w:spacing w:before="0" w:beforeAutospacing="0" w:after="150" w:afterAutospacing="0"/>
        <w:rPr>
          <w:rFonts w:ascii="Calibri" w:eastAsiaTheme="minorEastAsia" w:hAnsi="Calibri" w:cs="Calibri"/>
          <w:sz w:val="22"/>
          <w:szCs w:val="20"/>
          <w:lang w:eastAsia="en-US"/>
        </w:rPr>
      </w:pPr>
      <w:r w:rsidRPr="007C5C87">
        <w:rPr>
          <w:rFonts w:ascii="Calibri" w:eastAsiaTheme="minorEastAsia" w:hAnsi="Calibri" w:cs="Calibri"/>
          <w:sz w:val="22"/>
          <w:szCs w:val="20"/>
          <w:lang w:eastAsia="en-US"/>
        </w:rPr>
        <w:t>Hume is extremely varied in its industry and employment make-up, with a strong concentration of agriculture in the west and the alpine, wine and gourmet food areas in the region's east making tourism a strong contributor to regional employment.</w:t>
      </w:r>
      <w:r>
        <w:rPr>
          <w:rFonts w:ascii="Calibri" w:eastAsiaTheme="minorEastAsia" w:hAnsi="Calibri" w:cs="Calibri"/>
          <w:sz w:val="22"/>
          <w:szCs w:val="20"/>
          <w:lang w:eastAsia="en-US"/>
        </w:rPr>
        <w:t xml:space="preserve"> </w:t>
      </w:r>
      <w:r w:rsidR="00A5421E">
        <w:rPr>
          <w:rFonts w:ascii="Calibri" w:eastAsiaTheme="minorEastAsia" w:hAnsi="Calibri" w:cs="Calibri"/>
          <w:sz w:val="22"/>
          <w:szCs w:val="20"/>
          <w:lang w:eastAsia="en-US"/>
        </w:rPr>
        <w:t xml:space="preserve">Defence is a major contributor to </w:t>
      </w:r>
      <w:r w:rsidR="0011293C">
        <w:rPr>
          <w:rFonts w:ascii="Calibri" w:eastAsiaTheme="minorEastAsia" w:hAnsi="Calibri" w:cs="Calibri"/>
          <w:sz w:val="22"/>
          <w:szCs w:val="20"/>
          <w:lang w:eastAsia="en-US"/>
        </w:rPr>
        <w:t xml:space="preserve">industry </w:t>
      </w:r>
      <w:r w:rsidR="00A5421E">
        <w:rPr>
          <w:rFonts w:ascii="Calibri" w:eastAsiaTheme="minorEastAsia" w:hAnsi="Calibri" w:cs="Calibri"/>
          <w:sz w:val="22"/>
          <w:szCs w:val="20"/>
          <w:lang w:eastAsia="en-US"/>
        </w:rPr>
        <w:t>workforce in the Hume region with sites located at Puckapunyal and Wodonga</w:t>
      </w:r>
      <w:r w:rsidR="0011293C">
        <w:rPr>
          <w:rFonts w:ascii="Calibri" w:eastAsiaTheme="minorEastAsia" w:hAnsi="Calibri" w:cs="Calibri"/>
          <w:sz w:val="22"/>
          <w:szCs w:val="20"/>
          <w:lang w:eastAsia="en-US"/>
        </w:rPr>
        <w:t>.</w:t>
      </w:r>
    </w:p>
    <w:p w14:paraId="543A7E08" w14:textId="77777777" w:rsidR="00746396" w:rsidRDefault="00746396" w:rsidP="00746396">
      <w:pPr>
        <w:pStyle w:val="NormalWeb"/>
        <w:shd w:val="clear" w:color="auto" w:fill="FFFFFF"/>
        <w:spacing w:before="0" w:beforeAutospacing="0" w:after="150" w:afterAutospacing="0"/>
        <w:rPr>
          <w:rFonts w:ascii="Calibri" w:eastAsiaTheme="minorEastAsia" w:hAnsi="Calibri" w:cs="Calibri"/>
          <w:sz w:val="22"/>
          <w:szCs w:val="20"/>
          <w:lang w:eastAsia="en-US"/>
        </w:rPr>
      </w:pPr>
      <w:r>
        <w:rPr>
          <w:rFonts w:ascii="Calibri" w:eastAsiaTheme="minorEastAsia" w:hAnsi="Calibri" w:cs="Calibri"/>
          <w:sz w:val="22"/>
          <w:szCs w:val="20"/>
          <w:lang w:eastAsia="en-US"/>
        </w:rPr>
        <w:t>The region is home to a well-established value-add manufacturing supply chain and strategic transport links that sees a</w:t>
      </w:r>
      <w:r w:rsidRPr="00A21104">
        <w:rPr>
          <w:rFonts w:ascii="Calibri" w:eastAsiaTheme="minorEastAsia" w:hAnsi="Calibri" w:cs="Calibri"/>
          <w:sz w:val="22"/>
          <w:szCs w:val="20"/>
          <w:lang w:eastAsia="en-US"/>
        </w:rPr>
        <w:t xml:space="preserve"> </w:t>
      </w:r>
      <w:r>
        <w:rPr>
          <w:rFonts w:ascii="Calibri" w:eastAsiaTheme="minorEastAsia" w:hAnsi="Calibri" w:cs="Calibri"/>
          <w:sz w:val="22"/>
          <w:szCs w:val="20"/>
          <w:lang w:eastAsia="en-US"/>
        </w:rPr>
        <w:t>diverse mix of industries thrive</w:t>
      </w:r>
      <w:r w:rsidRPr="00A21104">
        <w:rPr>
          <w:rFonts w:ascii="Calibri" w:eastAsiaTheme="minorEastAsia" w:hAnsi="Calibri" w:cs="Calibri"/>
          <w:sz w:val="22"/>
          <w:szCs w:val="20"/>
          <w:lang w:eastAsia="en-US"/>
        </w:rPr>
        <w:t>. The region is a significant exporter of raw and manufactured goods with a total export value of $2.4bn.</w:t>
      </w:r>
    </w:p>
    <w:p w14:paraId="496CE398" w14:textId="3E8DC4BA" w:rsidR="00115D62" w:rsidRPr="00A95E6F" w:rsidRDefault="00115D62" w:rsidP="00447D11">
      <w:pPr>
        <w:pStyle w:val="NormalWeb"/>
        <w:shd w:val="clear" w:color="auto" w:fill="FFFFFF"/>
        <w:spacing w:before="0" w:beforeAutospacing="0" w:after="150" w:afterAutospacing="0"/>
        <w:rPr>
          <w:rFonts w:ascii="Calibri" w:eastAsiaTheme="minorEastAsia" w:hAnsi="Calibri" w:cs="Calibri"/>
          <w:sz w:val="22"/>
          <w:szCs w:val="22"/>
          <w:lang w:eastAsia="en-US"/>
        </w:rPr>
      </w:pPr>
      <w:r w:rsidRPr="00F70FFF">
        <w:rPr>
          <w:rFonts w:ascii="Calibri" w:hAnsi="Calibri" w:cs="Calibri"/>
          <w:sz w:val="22"/>
          <w:szCs w:val="22"/>
        </w:rPr>
        <w:t>Hume comprises the Goulburn and Ovens Murray sub-regions and includes the following local government areas.</w:t>
      </w:r>
    </w:p>
    <w:p w14:paraId="533ECEFF" w14:textId="77777777" w:rsidR="00115D62" w:rsidRDefault="00115D62" w:rsidP="0067784D">
      <w:pPr>
        <w:spacing w:before="240"/>
        <w:ind w:left="-142"/>
        <w:rPr>
          <w:rFonts w:ascii="Calibri" w:hAnsi="Calibri" w:cs="Calibri"/>
        </w:rPr>
      </w:pPr>
    </w:p>
    <w:p w14:paraId="0CE8CF96" w14:textId="58C1F737" w:rsidR="001E6F6E" w:rsidRPr="00720195" w:rsidRDefault="001E6F6E" w:rsidP="00566C7F">
      <w:pPr>
        <w:spacing w:before="240"/>
        <w:ind w:left="-567"/>
        <w:rPr>
          <w:rFonts w:ascii="Calibri" w:hAnsi="Calibri" w:cs="Calibri"/>
        </w:rPr>
      </w:pPr>
      <w:r w:rsidRPr="00720195">
        <w:rPr>
          <w:rFonts w:ascii="Calibri" w:hAnsi="Calibri" w:cs="Calibri"/>
          <w:noProof/>
          <w:color w:val="000000"/>
          <w:lang w:eastAsia="en-AU"/>
        </w:rPr>
        <w:lastRenderedPageBreak/>
        <mc:AlternateContent>
          <mc:Choice Requires="wps">
            <w:drawing>
              <wp:anchor distT="0" distB="0" distL="114300" distR="114300" simplePos="0" relativeHeight="251658240" behindDoc="0" locked="0" layoutInCell="1" allowOverlap="1" wp14:anchorId="2435DF56" wp14:editId="043548DD">
                <wp:simplePos x="0" y="0"/>
                <wp:positionH relativeFrom="margin">
                  <wp:align>right</wp:align>
                </wp:positionH>
                <wp:positionV relativeFrom="paragraph">
                  <wp:posOffset>3952875</wp:posOffset>
                </wp:positionV>
                <wp:extent cx="1649095" cy="340360"/>
                <wp:effectExtent l="0" t="0" r="825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D65D7" w14:textId="77777777" w:rsidR="001E6F6E" w:rsidRPr="00661869" w:rsidRDefault="001E6F6E" w:rsidP="001E6F6E">
                            <w:pPr>
                              <w:rPr>
                                <w:rFonts w:cs="Arial"/>
                                <w:color w:val="000000"/>
                              </w:rPr>
                            </w:pPr>
                            <w:r w:rsidRPr="00661869">
                              <w:rPr>
                                <w:rFonts w:cs="Arial"/>
                                <w:color w:val="000000"/>
                              </w:rPr>
                              <w:t>Figure 1 – Hume Region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DF56" id="_x0000_t202" coordsize="21600,21600" o:spt="202" path="m,l,21600r21600,l21600,xe">
                <v:stroke joinstyle="miter"/>
                <v:path gradientshapeok="t" o:connecttype="rect"/>
              </v:shapetype>
              <v:shape id="Text Box 2" o:spid="_x0000_s1026" type="#_x0000_t202" style="position:absolute;left:0;text-align:left;margin-left:78.65pt;margin-top:311.25pt;width:129.85pt;height:2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" stroked="f">
                <v:textbox>
                  <w:txbxContent>
                    <w:p w14:paraId="5B4D65D7" w14:textId="77777777" w:rsidR="001E6F6E" w:rsidRPr="00661869" w:rsidRDefault="001E6F6E" w:rsidP="001E6F6E">
                      <w:pPr>
                        <w:rPr>
                          <w:rFonts w:cs="Arial"/>
                          <w:color w:val="000000"/>
                        </w:rPr>
                      </w:pPr>
                      <w:r w:rsidRPr="00661869">
                        <w:rPr>
                          <w:rFonts w:cs="Arial"/>
                          <w:color w:val="000000"/>
                        </w:rPr>
                        <w:t>Figure 1 – Hume Region</w:t>
                      </w:r>
                    </w:p>
                  </w:txbxContent>
                </v:textbox>
                <w10:wrap anchorx="margin"/>
              </v:shape>
            </w:pict>
          </mc:Fallback>
        </mc:AlternateContent>
      </w:r>
      <w:r>
        <w:rPr>
          <w:noProof/>
        </w:rPr>
        <w:drawing>
          <wp:inline distT="0" distB="0" distL="0" distR="0" wp14:anchorId="22E06BCE" wp14:editId="3B159F7C">
            <wp:extent cx="6260465" cy="4413243"/>
            <wp:effectExtent l="0" t="0" r="6985" b="6985"/>
            <wp:docPr id="22" name="Picture 22" descr="A single colour map of the Hume area depicting the counci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ingle colour map of the Hume area depicting the council are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3963" cy="4422758"/>
                    </a:xfrm>
                    <a:prstGeom prst="rect">
                      <a:avLst/>
                    </a:prstGeom>
                    <a:noFill/>
                    <a:ln>
                      <a:noFill/>
                    </a:ln>
                  </pic:spPr>
                </pic:pic>
              </a:graphicData>
            </a:graphic>
          </wp:inline>
        </w:drawing>
      </w:r>
    </w:p>
    <w:p w14:paraId="06BE4EF4" w14:textId="19F7A8A6" w:rsidR="001E6F6E" w:rsidRPr="00566C7F" w:rsidRDefault="003F0E38" w:rsidP="00466D13">
      <w:pPr>
        <w:pStyle w:val="Heading1"/>
      </w:pPr>
      <w:r>
        <w:t>Regional Vision</w:t>
      </w:r>
    </w:p>
    <w:p w14:paraId="38D57EE0" w14:textId="77777777" w:rsidR="0028173E" w:rsidRDefault="0028173E" w:rsidP="00B3788F">
      <w:pPr>
        <w:autoSpaceDE w:val="0"/>
        <w:autoSpaceDN w:val="0"/>
        <w:adjustRightInd w:val="0"/>
        <w:spacing w:after="0" w:line="240" w:lineRule="auto"/>
        <w:rPr>
          <w:rFonts w:ascii="Calibri" w:hAnsi="Calibri" w:cs="Calibri"/>
        </w:rPr>
      </w:pPr>
    </w:p>
    <w:p w14:paraId="3833E64F" w14:textId="033C35B5" w:rsidR="0028173E" w:rsidRPr="0028173E" w:rsidRDefault="0028173E" w:rsidP="00B3788F">
      <w:pPr>
        <w:autoSpaceDE w:val="0"/>
        <w:autoSpaceDN w:val="0"/>
        <w:adjustRightInd w:val="0"/>
        <w:spacing w:after="0" w:line="240" w:lineRule="auto"/>
        <w:rPr>
          <w:rFonts w:ascii="Calibri" w:hAnsi="Calibri" w:cs="Calibri"/>
        </w:rPr>
      </w:pPr>
      <w:r w:rsidRPr="0028173E">
        <w:rPr>
          <w:rFonts w:ascii="Calibri" w:hAnsi="Calibri" w:cs="Calibri"/>
        </w:rPr>
        <w:t xml:space="preserve">THE HUME REGION IS </w:t>
      </w:r>
      <w:r w:rsidR="003F2123">
        <w:rPr>
          <w:rFonts w:ascii="Calibri" w:hAnsi="Calibri" w:cs="Calibri"/>
        </w:rPr>
        <w:t>VICTORIA’S</w:t>
      </w:r>
      <w:r w:rsidRPr="0028173E">
        <w:rPr>
          <w:rFonts w:ascii="Calibri" w:hAnsi="Calibri" w:cs="Calibri"/>
        </w:rPr>
        <w:t xml:space="preserve"> HEARTBEAT</w:t>
      </w:r>
    </w:p>
    <w:p w14:paraId="1D9C869D" w14:textId="77777777" w:rsidR="0028173E" w:rsidRDefault="0028173E" w:rsidP="00B3788F">
      <w:pPr>
        <w:autoSpaceDE w:val="0"/>
        <w:autoSpaceDN w:val="0"/>
        <w:adjustRightInd w:val="0"/>
        <w:spacing w:after="0" w:line="240" w:lineRule="auto"/>
        <w:rPr>
          <w:rFonts w:ascii="Calibri" w:hAnsi="Calibri" w:cs="Calibri"/>
        </w:rPr>
      </w:pPr>
    </w:p>
    <w:p w14:paraId="60D69CD5" w14:textId="59CE0B80" w:rsidR="005321C9" w:rsidRDefault="00CD7B45" w:rsidP="00B3788F">
      <w:pPr>
        <w:autoSpaceDE w:val="0"/>
        <w:autoSpaceDN w:val="0"/>
        <w:adjustRightInd w:val="0"/>
        <w:spacing w:after="0" w:line="240" w:lineRule="auto"/>
        <w:rPr>
          <w:rFonts w:ascii="Calibri" w:hAnsi="Calibri" w:cs="Calibri"/>
        </w:rPr>
      </w:pPr>
      <w:r>
        <w:rPr>
          <w:rFonts w:ascii="Calibri" w:hAnsi="Calibri" w:cs="Calibri"/>
        </w:rPr>
        <w:t>The Hume Region is the</w:t>
      </w:r>
      <w:r w:rsidR="0028173E" w:rsidRPr="0028173E">
        <w:rPr>
          <w:rFonts w:ascii="Calibri" w:hAnsi="Calibri" w:cs="Calibri"/>
        </w:rPr>
        <w:t xml:space="preserve"> lifeblood of the State and Nation through its productive and beautiful landscapes, its deep connections to its people and cultures and its strategic location in the heart of Victoria amongst the Nation’s arterial network.</w:t>
      </w:r>
    </w:p>
    <w:p w14:paraId="568E9180" w14:textId="77777777" w:rsidR="005321C9" w:rsidRDefault="005321C9" w:rsidP="00B3788F">
      <w:pPr>
        <w:autoSpaceDE w:val="0"/>
        <w:autoSpaceDN w:val="0"/>
        <w:adjustRightInd w:val="0"/>
        <w:spacing w:after="0" w:line="240" w:lineRule="auto"/>
        <w:rPr>
          <w:rFonts w:ascii="Calibri" w:hAnsi="Calibri" w:cs="Calibri"/>
        </w:rPr>
      </w:pPr>
    </w:p>
    <w:p w14:paraId="6A8AF8E0" w14:textId="33856527" w:rsidR="00B02E37" w:rsidRDefault="00042957">
      <w:pPr>
        <w:autoSpaceDE w:val="0"/>
        <w:autoSpaceDN w:val="0"/>
        <w:adjustRightInd w:val="0"/>
        <w:spacing w:after="0" w:line="240" w:lineRule="auto"/>
        <w:rPr>
          <w:rFonts w:ascii="Calibri" w:hAnsi="Calibri" w:cs="Calibri"/>
        </w:rPr>
      </w:pPr>
      <w:r>
        <w:rPr>
          <w:rFonts w:ascii="Calibri" w:hAnsi="Calibri" w:cs="Calibri"/>
        </w:rPr>
        <w:t>The Hume Region</w:t>
      </w:r>
      <w:r w:rsidR="0028173E" w:rsidRPr="0028173E">
        <w:rPr>
          <w:rFonts w:ascii="Calibri" w:hAnsi="Calibri" w:cs="Calibri"/>
        </w:rPr>
        <w:t xml:space="preserve"> will sustain the preservation of future generations through its rich primary production and food producing capabilities, access to services and its vibrant and empowered communities.</w:t>
      </w:r>
      <w:r w:rsidR="005321C9">
        <w:rPr>
          <w:rFonts w:ascii="Calibri" w:hAnsi="Calibri" w:cs="Calibri"/>
        </w:rPr>
        <w:t xml:space="preserve"> </w:t>
      </w:r>
    </w:p>
    <w:p w14:paraId="5C78DDBC" w14:textId="77777777" w:rsidR="00115D62" w:rsidRDefault="00115D62" w:rsidP="00B3788F">
      <w:pPr>
        <w:autoSpaceDE w:val="0"/>
        <w:autoSpaceDN w:val="0"/>
        <w:adjustRightInd w:val="0"/>
        <w:spacing w:after="0" w:line="240" w:lineRule="auto"/>
        <w:rPr>
          <w:rFonts w:ascii="Calibri" w:hAnsi="Calibri" w:cs="Calibri"/>
        </w:rPr>
      </w:pPr>
    </w:p>
    <w:p w14:paraId="13DE3CAB" w14:textId="77777777" w:rsidR="003D4D9D" w:rsidRDefault="003D4D9D" w:rsidP="00190056">
      <w:pPr>
        <w:pStyle w:val="Heading1"/>
      </w:pPr>
      <w:r w:rsidRPr="00447D11">
        <w:t>RDA Hume Executive &amp; Support Team</w:t>
      </w:r>
    </w:p>
    <w:p w14:paraId="23702582" w14:textId="29D11490" w:rsidR="00190056" w:rsidRPr="00190056" w:rsidRDefault="00190056" w:rsidP="00466D13">
      <w:pPr>
        <w:pStyle w:val="Heading2"/>
      </w:pPr>
      <w:r w:rsidRPr="001E6F6E">
        <w:t>RDA Hume Executive &amp; Support Team</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6124"/>
      </w:tblGrid>
      <w:tr w:rsidR="003D4D9D" w:rsidRPr="00DB07CC" w14:paraId="6B84A943" w14:textId="77777777" w:rsidTr="0003593A">
        <w:trPr>
          <w:trHeight w:val="397"/>
        </w:trPr>
        <w:tc>
          <w:tcPr>
            <w:tcW w:w="2977" w:type="dxa"/>
            <w:shd w:val="clear" w:color="auto" w:fill="auto"/>
            <w:vAlign w:val="center"/>
          </w:tcPr>
          <w:p w14:paraId="7E5A32C7" w14:textId="77777777" w:rsidR="003D4D9D" w:rsidRPr="00DB07CC" w:rsidRDefault="003D4D9D" w:rsidP="0003593A">
            <w:pPr>
              <w:spacing w:after="0" w:line="240" w:lineRule="auto"/>
              <w:ind w:left="201"/>
              <w:jc w:val="both"/>
              <w:rPr>
                <w:rFonts w:ascii="Calibri" w:hAnsi="Calibri" w:cs="Calibri"/>
                <w:b/>
                <w:color w:val="000000"/>
              </w:rPr>
            </w:pPr>
            <w:r w:rsidRPr="00DB07CC">
              <w:rPr>
                <w:rFonts w:ascii="Calibri" w:hAnsi="Calibri" w:cs="Calibri"/>
                <w:b/>
                <w:color w:val="000000"/>
              </w:rPr>
              <w:t>Name</w:t>
            </w:r>
          </w:p>
        </w:tc>
        <w:tc>
          <w:tcPr>
            <w:tcW w:w="6124" w:type="dxa"/>
            <w:shd w:val="clear" w:color="auto" w:fill="auto"/>
            <w:vAlign w:val="center"/>
          </w:tcPr>
          <w:p w14:paraId="655AE80A" w14:textId="77777777" w:rsidR="003D4D9D" w:rsidRPr="00DB07CC" w:rsidRDefault="003D4D9D" w:rsidP="0003593A">
            <w:pPr>
              <w:spacing w:after="0" w:line="240" w:lineRule="auto"/>
              <w:ind w:left="201"/>
              <w:jc w:val="both"/>
              <w:rPr>
                <w:rFonts w:ascii="Calibri" w:hAnsi="Calibri" w:cs="Calibri"/>
                <w:b/>
                <w:color w:val="000000"/>
              </w:rPr>
            </w:pPr>
            <w:r w:rsidRPr="00DB07CC">
              <w:rPr>
                <w:rFonts w:ascii="Calibri" w:hAnsi="Calibri" w:cs="Calibri"/>
                <w:b/>
                <w:color w:val="000000"/>
              </w:rPr>
              <w:t>Position</w:t>
            </w:r>
          </w:p>
        </w:tc>
      </w:tr>
      <w:tr w:rsidR="003D4D9D" w:rsidRPr="00DB07CC" w14:paraId="27AC3FCB" w14:textId="77777777" w:rsidTr="0003593A">
        <w:trPr>
          <w:trHeight w:val="397"/>
        </w:trPr>
        <w:tc>
          <w:tcPr>
            <w:tcW w:w="2977" w:type="dxa"/>
          </w:tcPr>
          <w:p w14:paraId="5B5E632D" w14:textId="77777777" w:rsidR="003D4D9D" w:rsidRPr="00DB07CC" w:rsidRDefault="003D4D9D" w:rsidP="0003593A">
            <w:pPr>
              <w:spacing w:after="0" w:line="240" w:lineRule="auto"/>
              <w:ind w:left="201"/>
              <w:jc w:val="both"/>
              <w:rPr>
                <w:rFonts w:ascii="Calibri" w:hAnsi="Calibri" w:cs="Calibri"/>
                <w:color w:val="000000"/>
              </w:rPr>
            </w:pPr>
            <w:r>
              <w:rPr>
                <w:rFonts w:ascii="Calibri" w:hAnsi="Calibri" w:cs="Calibri"/>
                <w:color w:val="000000"/>
              </w:rPr>
              <w:t>Eliza Brown</w:t>
            </w:r>
          </w:p>
        </w:tc>
        <w:tc>
          <w:tcPr>
            <w:tcW w:w="6124" w:type="dxa"/>
          </w:tcPr>
          <w:p w14:paraId="4F0FAEA8" w14:textId="77777777" w:rsidR="003D4D9D" w:rsidRPr="00DB07CC" w:rsidRDefault="003D4D9D" w:rsidP="0003593A">
            <w:pPr>
              <w:spacing w:after="0"/>
              <w:ind w:left="201"/>
              <w:jc w:val="both"/>
              <w:rPr>
                <w:rFonts w:ascii="Calibri" w:hAnsi="Calibri" w:cs="Calibri"/>
                <w:color w:val="000000"/>
              </w:rPr>
            </w:pPr>
            <w:r w:rsidRPr="00DB07CC">
              <w:rPr>
                <w:rFonts w:ascii="Calibri" w:hAnsi="Calibri" w:cs="Calibri"/>
                <w:color w:val="000000"/>
              </w:rPr>
              <w:t>Chair</w:t>
            </w:r>
          </w:p>
        </w:tc>
      </w:tr>
      <w:tr w:rsidR="003D4D9D" w:rsidRPr="00DB07CC" w14:paraId="4C85DBDD" w14:textId="77777777" w:rsidTr="0003593A">
        <w:trPr>
          <w:trHeight w:val="397"/>
        </w:trPr>
        <w:tc>
          <w:tcPr>
            <w:tcW w:w="2977" w:type="dxa"/>
          </w:tcPr>
          <w:p w14:paraId="161823A5" w14:textId="7268A7DB" w:rsidR="003D4D9D" w:rsidRPr="005B0B2C" w:rsidRDefault="00103588" w:rsidP="0003593A">
            <w:pPr>
              <w:spacing w:after="0" w:line="240" w:lineRule="auto"/>
              <w:ind w:left="201"/>
              <w:jc w:val="both"/>
              <w:rPr>
                <w:rFonts w:ascii="Calibri" w:hAnsi="Calibri" w:cs="Calibri"/>
                <w:color w:val="000000"/>
              </w:rPr>
            </w:pPr>
            <w:r>
              <w:rPr>
                <w:rFonts w:ascii="Calibri" w:hAnsi="Calibri" w:cs="Calibri"/>
                <w:color w:val="000000"/>
              </w:rPr>
              <w:t>TBC</w:t>
            </w:r>
          </w:p>
        </w:tc>
        <w:tc>
          <w:tcPr>
            <w:tcW w:w="6124" w:type="dxa"/>
          </w:tcPr>
          <w:p w14:paraId="371C1CB3" w14:textId="77777777" w:rsidR="003D4D9D" w:rsidRPr="005B0B2C" w:rsidRDefault="003D4D9D" w:rsidP="0003593A">
            <w:pPr>
              <w:spacing w:after="0"/>
              <w:ind w:left="201"/>
              <w:jc w:val="both"/>
              <w:rPr>
                <w:rFonts w:ascii="Calibri" w:hAnsi="Calibri" w:cs="Calibri"/>
                <w:color w:val="000000"/>
              </w:rPr>
            </w:pPr>
            <w:r w:rsidRPr="005B0B2C">
              <w:rPr>
                <w:rFonts w:ascii="Calibri" w:hAnsi="Calibri" w:cs="Calibri"/>
                <w:color w:val="000000"/>
              </w:rPr>
              <w:t>Deputy Chair</w:t>
            </w:r>
          </w:p>
        </w:tc>
      </w:tr>
      <w:tr w:rsidR="003D4D9D" w:rsidRPr="00DB07CC" w14:paraId="111E700D" w14:textId="77777777" w:rsidTr="0003593A">
        <w:trPr>
          <w:trHeight w:val="397"/>
        </w:trPr>
        <w:tc>
          <w:tcPr>
            <w:tcW w:w="2977" w:type="dxa"/>
          </w:tcPr>
          <w:p w14:paraId="46508926" w14:textId="1528C5F0" w:rsidR="003D4D9D" w:rsidRPr="00DB07CC" w:rsidRDefault="00986E85" w:rsidP="0003593A">
            <w:pPr>
              <w:spacing w:after="0" w:line="240" w:lineRule="auto"/>
              <w:ind w:left="201"/>
              <w:jc w:val="both"/>
              <w:rPr>
                <w:rFonts w:ascii="Calibri" w:hAnsi="Calibri" w:cs="Calibri"/>
                <w:color w:val="000000"/>
              </w:rPr>
            </w:pPr>
            <w:r>
              <w:rPr>
                <w:rFonts w:ascii="Calibri" w:hAnsi="Calibri" w:cs="Calibri"/>
                <w:color w:val="000000"/>
              </w:rPr>
              <w:t>Mark Byatt</w:t>
            </w:r>
          </w:p>
        </w:tc>
        <w:tc>
          <w:tcPr>
            <w:tcW w:w="6124" w:type="dxa"/>
          </w:tcPr>
          <w:p w14:paraId="1AAA44CF" w14:textId="77777777" w:rsidR="003D4D9D" w:rsidRPr="00DB07CC" w:rsidRDefault="003D4D9D" w:rsidP="0003593A">
            <w:pPr>
              <w:spacing w:after="0"/>
              <w:ind w:left="201"/>
              <w:jc w:val="both"/>
              <w:rPr>
                <w:rFonts w:ascii="Calibri" w:hAnsi="Calibri" w:cs="Calibri"/>
                <w:color w:val="000000"/>
              </w:rPr>
            </w:pPr>
            <w:r w:rsidRPr="00DB07CC">
              <w:rPr>
                <w:rFonts w:ascii="Calibri" w:hAnsi="Calibri" w:cs="Calibri"/>
                <w:color w:val="000000"/>
              </w:rPr>
              <w:t xml:space="preserve">Executive Officer </w:t>
            </w:r>
          </w:p>
        </w:tc>
      </w:tr>
      <w:tr w:rsidR="003D4D9D" w:rsidRPr="00DB07CC" w14:paraId="33AD9C1B" w14:textId="77777777" w:rsidTr="0003593A">
        <w:trPr>
          <w:trHeight w:val="397"/>
        </w:trPr>
        <w:tc>
          <w:tcPr>
            <w:tcW w:w="2977" w:type="dxa"/>
          </w:tcPr>
          <w:p w14:paraId="57BD54B3" w14:textId="3195C107" w:rsidR="003D4D9D" w:rsidRPr="00DB07CC" w:rsidRDefault="008A48FC" w:rsidP="00F70FFF">
            <w:pPr>
              <w:spacing w:after="0" w:line="240" w:lineRule="auto"/>
              <w:jc w:val="both"/>
              <w:rPr>
                <w:rFonts w:ascii="Calibri" w:hAnsi="Calibri" w:cs="Calibri"/>
                <w:color w:val="000000"/>
              </w:rPr>
            </w:pPr>
            <w:r>
              <w:rPr>
                <w:rFonts w:ascii="Calibri" w:hAnsi="Calibri" w:cs="Calibri"/>
                <w:color w:val="000000"/>
              </w:rPr>
              <w:lastRenderedPageBreak/>
              <w:t xml:space="preserve"> </w:t>
            </w:r>
            <w:r w:rsidR="00103588">
              <w:rPr>
                <w:rFonts w:ascii="Calibri" w:hAnsi="Calibri" w:cs="Calibri"/>
                <w:color w:val="000000"/>
              </w:rPr>
              <w:t xml:space="preserve">   </w:t>
            </w:r>
            <w:r w:rsidR="00D92052">
              <w:rPr>
                <w:rFonts w:ascii="Calibri" w:hAnsi="Calibri" w:cs="Calibri"/>
                <w:color w:val="000000"/>
              </w:rPr>
              <w:t>TBC</w:t>
            </w:r>
          </w:p>
        </w:tc>
        <w:tc>
          <w:tcPr>
            <w:tcW w:w="6124" w:type="dxa"/>
          </w:tcPr>
          <w:p w14:paraId="156736CA" w14:textId="19198C9E" w:rsidR="003D4D9D" w:rsidRPr="00DB07CC" w:rsidRDefault="00D92052" w:rsidP="0003593A">
            <w:pPr>
              <w:spacing w:after="0"/>
              <w:ind w:left="201"/>
              <w:jc w:val="both"/>
              <w:rPr>
                <w:rFonts w:ascii="Calibri" w:hAnsi="Calibri" w:cs="Calibri"/>
                <w:color w:val="000000"/>
              </w:rPr>
            </w:pPr>
            <w:r>
              <w:rPr>
                <w:rFonts w:ascii="Calibri" w:hAnsi="Calibri" w:cs="Calibri"/>
                <w:color w:val="000000"/>
              </w:rPr>
              <w:t>Manager Regional Coordination</w:t>
            </w:r>
          </w:p>
        </w:tc>
      </w:tr>
      <w:tr w:rsidR="003D4D9D" w:rsidRPr="00DB07CC" w14:paraId="049EFC18" w14:textId="77777777" w:rsidTr="0003593A">
        <w:trPr>
          <w:trHeight w:val="397"/>
        </w:trPr>
        <w:tc>
          <w:tcPr>
            <w:tcW w:w="2977" w:type="dxa"/>
          </w:tcPr>
          <w:p w14:paraId="264A7E8B" w14:textId="6CBD77C2" w:rsidR="003D4D9D" w:rsidRPr="00DB07CC" w:rsidRDefault="00986E85" w:rsidP="0003593A">
            <w:pPr>
              <w:spacing w:after="0" w:line="240" w:lineRule="auto"/>
              <w:ind w:left="201"/>
              <w:jc w:val="both"/>
              <w:rPr>
                <w:rFonts w:ascii="Calibri" w:hAnsi="Calibri" w:cs="Calibri"/>
                <w:color w:val="000000"/>
              </w:rPr>
            </w:pPr>
            <w:r>
              <w:rPr>
                <w:rFonts w:ascii="Calibri" w:hAnsi="Calibri" w:cs="Calibri"/>
                <w:color w:val="000000"/>
              </w:rPr>
              <w:t>Claire Connolly</w:t>
            </w:r>
          </w:p>
        </w:tc>
        <w:tc>
          <w:tcPr>
            <w:tcW w:w="6124" w:type="dxa"/>
          </w:tcPr>
          <w:p w14:paraId="12E55FF5" w14:textId="3303BABB" w:rsidR="003D4D9D" w:rsidRPr="00DB07CC" w:rsidRDefault="003D4D9D" w:rsidP="0003593A">
            <w:pPr>
              <w:spacing w:after="0"/>
              <w:ind w:left="201"/>
              <w:jc w:val="both"/>
              <w:rPr>
                <w:rFonts w:ascii="Calibri" w:hAnsi="Calibri" w:cs="Calibri"/>
                <w:color w:val="000000"/>
              </w:rPr>
            </w:pPr>
            <w:r w:rsidRPr="00DB07CC">
              <w:rPr>
                <w:rFonts w:ascii="Calibri" w:hAnsi="Calibri" w:cs="Calibri"/>
                <w:color w:val="000000"/>
              </w:rPr>
              <w:t xml:space="preserve">RDA </w:t>
            </w:r>
            <w:r>
              <w:rPr>
                <w:rFonts w:ascii="Calibri" w:hAnsi="Calibri" w:cs="Calibri"/>
                <w:color w:val="000000"/>
              </w:rPr>
              <w:t>Hume Coordinator</w:t>
            </w:r>
          </w:p>
        </w:tc>
      </w:tr>
    </w:tbl>
    <w:p w14:paraId="704A10A4" w14:textId="77777777" w:rsidR="003D4D9D" w:rsidRPr="0028173E" w:rsidRDefault="003D4D9D" w:rsidP="00B3788F">
      <w:pPr>
        <w:autoSpaceDE w:val="0"/>
        <w:autoSpaceDN w:val="0"/>
        <w:adjustRightInd w:val="0"/>
        <w:spacing w:after="0" w:line="240" w:lineRule="auto"/>
        <w:rPr>
          <w:rFonts w:ascii="Calibri" w:hAnsi="Calibri" w:cs="Calibri"/>
        </w:rPr>
      </w:pPr>
    </w:p>
    <w:p w14:paraId="24A67943" w14:textId="77777777" w:rsidR="00D24344" w:rsidRPr="00390668" w:rsidRDefault="00D24344" w:rsidP="00466D13">
      <w:pPr>
        <w:pStyle w:val="Heading1"/>
      </w:pPr>
      <w:bookmarkStart w:id="2" w:name="_Toc508967722"/>
      <w:bookmarkStart w:id="3" w:name="_Toc116477009"/>
      <w:r w:rsidRPr="00390668">
        <w:t>RDA Charter</w:t>
      </w:r>
    </w:p>
    <w:p w14:paraId="6BC6A0A6" w14:textId="77777777" w:rsidR="00553D4B" w:rsidRDefault="00CC37F8" w:rsidP="003D3157">
      <w:pPr>
        <w:autoSpaceDE w:val="0"/>
        <w:autoSpaceDN w:val="0"/>
        <w:adjustRightInd w:val="0"/>
        <w:spacing w:before="240" w:line="240" w:lineRule="auto"/>
        <w:jc w:val="both"/>
        <w:rPr>
          <w:rFonts w:ascii="Calibri" w:hAnsi="Calibri" w:cs="Calibri"/>
          <w:color w:val="000000"/>
        </w:rPr>
      </w:pPr>
      <w:r>
        <w:rPr>
          <w:rFonts w:ascii="Calibri" w:hAnsi="Calibri" w:cs="Calibri"/>
          <w:color w:val="000000"/>
        </w:rPr>
        <w:t>On Friday, 28 July 2023 the Australian Go</w:t>
      </w:r>
      <w:r w:rsidR="0065410E">
        <w:rPr>
          <w:rFonts w:ascii="Calibri" w:hAnsi="Calibri" w:cs="Calibri"/>
          <w:color w:val="000000"/>
        </w:rPr>
        <w:t>vernment introduced a new</w:t>
      </w:r>
      <w:r w:rsidR="00D24344">
        <w:rPr>
          <w:rFonts w:ascii="Calibri" w:hAnsi="Calibri" w:cs="Calibri"/>
          <w:color w:val="000000"/>
        </w:rPr>
        <w:t xml:space="preserve"> RDA Charter</w:t>
      </w:r>
      <w:r w:rsidR="00553D4B">
        <w:rPr>
          <w:rFonts w:ascii="Calibri" w:hAnsi="Calibri" w:cs="Calibri"/>
          <w:color w:val="000000"/>
        </w:rPr>
        <w:t>.</w:t>
      </w:r>
    </w:p>
    <w:p w14:paraId="2186D489" w14:textId="727219EA" w:rsidR="00D24344" w:rsidRDefault="00553D4B" w:rsidP="00D24344">
      <w:pPr>
        <w:autoSpaceDE w:val="0"/>
        <w:autoSpaceDN w:val="0"/>
        <w:adjustRightInd w:val="0"/>
        <w:spacing w:before="120" w:line="240" w:lineRule="auto"/>
        <w:jc w:val="both"/>
        <w:rPr>
          <w:rFonts w:ascii="Calibri" w:hAnsi="Calibri" w:cs="Calibri"/>
          <w:color w:val="000000"/>
        </w:rPr>
      </w:pPr>
      <w:r>
        <w:rPr>
          <w:rFonts w:ascii="Calibri" w:hAnsi="Calibri" w:cs="Calibri"/>
          <w:color w:val="000000"/>
        </w:rPr>
        <w:t xml:space="preserve">This new charter </w:t>
      </w:r>
      <w:r w:rsidR="00D24344">
        <w:rPr>
          <w:rFonts w:ascii="Calibri" w:hAnsi="Calibri" w:cs="Calibri"/>
          <w:color w:val="000000"/>
        </w:rPr>
        <w:t xml:space="preserve">outlines the role and expectations for the RDA Network </w:t>
      </w:r>
      <w:r w:rsidR="00285DAB">
        <w:rPr>
          <w:rFonts w:ascii="Calibri" w:hAnsi="Calibri" w:cs="Calibri"/>
          <w:color w:val="000000"/>
        </w:rPr>
        <w:t xml:space="preserve">to </w:t>
      </w:r>
      <w:r w:rsidR="006B7714">
        <w:rPr>
          <w:rFonts w:ascii="Calibri" w:hAnsi="Calibri" w:cs="Calibri"/>
          <w:color w:val="000000"/>
        </w:rPr>
        <w:t>help drive economic growth, innovation and entrepreneurship by facilitating investment in regional communities</w:t>
      </w:r>
      <w:r w:rsidR="003B0465">
        <w:rPr>
          <w:rFonts w:ascii="Calibri" w:hAnsi="Calibri" w:cs="Calibri"/>
          <w:color w:val="000000"/>
        </w:rPr>
        <w:t>, industries and environments</w:t>
      </w:r>
      <w:r w:rsidR="00D24344">
        <w:rPr>
          <w:rFonts w:ascii="Calibri" w:hAnsi="Calibri" w:cs="Calibri"/>
          <w:color w:val="000000"/>
        </w:rPr>
        <w:t xml:space="preserve">. </w:t>
      </w:r>
    </w:p>
    <w:p w14:paraId="4C945367" w14:textId="4EBF47C8" w:rsidR="00D24344" w:rsidRPr="00390668" w:rsidRDefault="00D24344" w:rsidP="006A5FE1">
      <w:p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 xml:space="preserve">RDA Hume </w:t>
      </w:r>
      <w:r w:rsidR="006973BA">
        <w:rPr>
          <w:rFonts w:ascii="Calibri" w:hAnsi="Calibri" w:cs="Calibri"/>
          <w:color w:val="000000"/>
        </w:rPr>
        <w:t xml:space="preserve">will achieve the aims of the new charter through its work with </w:t>
      </w:r>
      <w:r w:rsidR="00CF1110">
        <w:rPr>
          <w:rFonts w:ascii="Calibri" w:hAnsi="Calibri" w:cs="Calibri"/>
          <w:color w:val="000000"/>
        </w:rPr>
        <w:t>its broad range of stakeholders</w:t>
      </w:r>
      <w:r w:rsidR="006C3365">
        <w:rPr>
          <w:rFonts w:ascii="Calibri" w:hAnsi="Calibri" w:cs="Calibri"/>
          <w:color w:val="000000"/>
        </w:rPr>
        <w:t xml:space="preserve"> a</w:t>
      </w:r>
      <w:r w:rsidR="0066191A">
        <w:rPr>
          <w:rFonts w:ascii="Calibri" w:hAnsi="Calibri" w:cs="Calibri"/>
          <w:color w:val="000000"/>
        </w:rPr>
        <w:t xml:space="preserve">nd </w:t>
      </w:r>
      <w:r>
        <w:rPr>
          <w:rFonts w:ascii="Calibri" w:hAnsi="Calibri" w:cs="Calibri"/>
          <w:color w:val="000000"/>
        </w:rPr>
        <w:t>collaborating with other RDA Committees</w:t>
      </w:r>
      <w:r w:rsidR="0066191A">
        <w:rPr>
          <w:rFonts w:ascii="Calibri" w:hAnsi="Calibri" w:cs="Calibri"/>
          <w:color w:val="000000"/>
        </w:rPr>
        <w:t xml:space="preserve"> and</w:t>
      </w:r>
      <w:r>
        <w:rPr>
          <w:rFonts w:ascii="Calibri" w:hAnsi="Calibri" w:cs="Calibri"/>
          <w:color w:val="000000"/>
        </w:rPr>
        <w:t xml:space="preserve"> all </w:t>
      </w:r>
      <w:r w:rsidR="0066191A">
        <w:rPr>
          <w:rFonts w:ascii="Calibri" w:hAnsi="Calibri" w:cs="Calibri"/>
          <w:color w:val="000000"/>
        </w:rPr>
        <w:t xml:space="preserve">three </w:t>
      </w:r>
      <w:r>
        <w:rPr>
          <w:rFonts w:ascii="Calibri" w:hAnsi="Calibri" w:cs="Calibri"/>
          <w:color w:val="000000"/>
        </w:rPr>
        <w:t>levels of government</w:t>
      </w:r>
      <w:r w:rsidR="00206148">
        <w:rPr>
          <w:rFonts w:ascii="Calibri" w:hAnsi="Calibri" w:cs="Calibri"/>
          <w:color w:val="000000"/>
        </w:rPr>
        <w:t xml:space="preserve"> and will</w:t>
      </w:r>
      <w:r>
        <w:rPr>
          <w:rFonts w:ascii="Calibri" w:hAnsi="Calibri" w:cs="Calibri"/>
          <w:color w:val="000000"/>
        </w:rPr>
        <w:t>:</w:t>
      </w:r>
      <w:r w:rsidR="00E443E0">
        <w:rPr>
          <w:rFonts w:ascii="Calibri" w:hAnsi="Calibri" w:cs="Calibri"/>
          <w:color w:val="000000"/>
        </w:rPr>
        <w:t xml:space="preserve"> </w:t>
      </w:r>
    </w:p>
    <w:p w14:paraId="022369A0" w14:textId="77777777" w:rsidR="0095303C"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 xml:space="preserve">focus their activities and strategy on delivery of the RIF in their region, including investment in people, places, services, and industries and local economies </w:t>
      </w:r>
    </w:p>
    <w:p w14:paraId="55526EB1" w14:textId="77777777" w:rsidR="0095303C"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 xml:space="preserve">support regional stakeholders, including local government and the not-for-profit-sector, to seek grant opportunities that advance strategic regional priorities </w:t>
      </w:r>
    </w:p>
    <w:p w14:paraId="592E2516" w14:textId="77777777" w:rsidR="0095303C"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 xml:space="preserve">support decarbonisation efforts and the transformation to a net zero economy and enable regional linkages between sectors to achieve these aims </w:t>
      </w:r>
    </w:p>
    <w:p w14:paraId="6268E122" w14:textId="77777777" w:rsidR="0095303C"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 xml:space="preserve">build the evidence for economic development, including innovation and diversification strategies </w:t>
      </w:r>
    </w:p>
    <w:p w14:paraId="6DA1B19E" w14:textId="77777777" w:rsidR="00E22C63"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facilitate meaningful engagement across the three levels of government to ensure investments deliver better outcomes for regions, and</w:t>
      </w:r>
    </w:p>
    <w:p w14:paraId="6972B263" w14:textId="77777777" w:rsidR="00E22C63" w:rsidRPr="00206148" w:rsidRDefault="008073F9" w:rsidP="00206148">
      <w:pPr>
        <w:pStyle w:val="ListParagraph"/>
        <w:numPr>
          <w:ilvl w:val="0"/>
          <w:numId w:val="26"/>
        </w:numPr>
        <w:spacing w:before="120" w:line="240" w:lineRule="auto"/>
        <w:ind w:left="426" w:hanging="426"/>
        <w:jc w:val="both"/>
        <w:rPr>
          <w:rFonts w:ascii="Calibri" w:hAnsi="Calibri" w:cs="Calibri"/>
          <w:color w:val="000000"/>
        </w:rPr>
      </w:pPr>
      <w:r w:rsidRPr="00206148">
        <w:rPr>
          <w:rFonts w:ascii="Calibri" w:hAnsi="Calibri" w:cs="Calibri"/>
          <w:color w:val="000000"/>
        </w:rPr>
        <w:t xml:space="preserve">contribute relevant data and local intelligence to support the evidence base to inform regional development strategies, program design and policy responses. </w:t>
      </w:r>
    </w:p>
    <w:p w14:paraId="6386AA01" w14:textId="77777777" w:rsidR="009C4CA0" w:rsidRDefault="008073F9" w:rsidP="009C4CA0">
      <w:pPr>
        <w:spacing w:before="120" w:after="120" w:line="240" w:lineRule="auto"/>
        <w:jc w:val="both"/>
        <w:rPr>
          <w:rFonts w:ascii="Calibri" w:hAnsi="Calibri" w:cs="Calibri"/>
          <w:color w:val="000000"/>
        </w:rPr>
      </w:pPr>
      <w:r w:rsidRPr="0095303C">
        <w:rPr>
          <w:rFonts w:ascii="Calibri" w:hAnsi="Calibri" w:cs="Calibri"/>
          <w:color w:val="000000"/>
        </w:rPr>
        <w:t>RDA</w:t>
      </w:r>
      <w:r w:rsidR="009C4CA0">
        <w:rPr>
          <w:rFonts w:ascii="Calibri" w:hAnsi="Calibri" w:cs="Calibri"/>
          <w:color w:val="000000"/>
        </w:rPr>
        <w:t xml:space="preserve"> Hume will also </w:t>
      </w:r>
      <w:r w:rsidRPr="0095303C">
        <w:rPr>
          <w:rFonts w:ascii="Calibri" w:hAnsi="Calibri" w:cs="Calibri"/>
          <w:color w:val="000000"/>
        </w:rPr>
        <w:t xml:space="preserve">use their local, cross-sector expertise and regional voice to: </w:t>
      </w:r>
    </w:p>
    <w:p w14:paraId="3C8A655D" w14:textId="77777777" w:rsidR="009C4CA0" w:rsidRPr="009C4CA0" w:rsidRDefault="009C4CA0" w:rsidP="009C4CA0">
      <w:pPr>
        <w:pStyle w:val="ListParagraph"/>
        <w:numPr>
          <w:ilvl w:val="0"/>
          <w:numId w:val="27"/>
        </w:numPr>
        <w:spacing w:before="120" w:line="240" w:lineRule="auto"/>
        <w:ind w:left="426" w:hanging="426"/>
        <w:jc w:val="both"/>
        <w:rPr>
          <w:rFonts w:ascii="Calibri" w:hAnsi="Calibri" w:cs="Calibri"/>
          <w:color w:val="000000"/>
        </w:rPr>
      </w:pPr>
      <w:r w:rsidRPr="009C4CA0">
        <w:rPr>
          <w:rFonts w:ascii="Calibri" w:hAnsi="Calibri" w:cs="Calibri"/>
          <w:color w:val="000000"/>
        </w:rPr>
        <w:t>c</w:t>
      </w:r>
      <w:r w:rsidR="008073F9" w:rsidRPr="009C4CA0">
        <w:rPr>
          <w:rFonts w:ascii="Calibri" w:hAnsi="Calibri" w:cs="Calibri"/>
          <w:color w:val="000000"/>
        </w:rPr>
        <w:t>ollaborate with integrity, transparency, respect and accountability</w:t>
      </w:r>
    </w:p>
    <w:p w14:paraId="541F7E1C" w14:textId="77777777" w:rsidR="009C4CA0" w:rsidRPr="009C4CA0" w:rsidRDefault="008073F9" w:rsidP="009C4CA0">
      <w:pPr>
        <w:pStyle w:val="ListParagraph"/>
        <w:numPr>
          <w:ilvl w:val="0"/>
          <w:numId w:val="27"/>
        </w:numPr>
        <w:spacing w:before="120" w:line="240" w:lineRule="auto"/>
        <w:ind w:left="426" w:hanging="426"/>
        <w:jc w:val="both"/>
        <w:rPr>
          <w:rFonts w:ascii="Calibri" w:hAnsi="Calibri" w:cs="Calibri"/>
          <w:color w:val="000000"/>
        </w:rPr>
      </w:pPr>
      <w:r w:rsidRPr="009C4CA0">
        <w:rPr>
          <w:rFonts w:ascii="Calibri" w:hAnsi="Calibri" w:cs="Calibri"/>
          <w:color w:val="000000"/>
        </w:rPr>
        <w:t>engage with diverse communities, especially First Nations people</w:t>
      </w:r>
    </w:p>
    <w:p w14:paraId="5A821190" w14:textId="657EEB85" w:rsidR="009C4CA0" w:rsidRPr="009C4CA0" w:rsidRDefault="008073F9" w:rsidP="009C4CA0">
      <w:pPr>
        <w:pStyle w:val="ListParagraph"/>
        <w:numPr>
          <w:ilvl w:val="0"/>
          <w:numId w:val="27"/>
        </w:numPr>
        <w:spacing w:before="120" w:line="240" w:lineRule="auto"/>
        <w:ind w:left="426" w:hanging="426"/>
        <w:jc w:val="both"/>
        <w:rPr>
          <w:rFonts w:ascii="Calibri" w:hAnsi="Calibri" w:cs="Calibri"/>
          <w:color w:val="000000"/>
        </w:rPr>
      </w:pPr>
      <w:r w:rsidRPr="009C4CA0">
        <w:rPr>
          <w:rFonts w:ascii="Calibri" w:hAnsi="Calibri" w:cs="Calibri"/>
          <w:color w:val="000000"/>
        </w:rPr>
        <w:t xml:space="preserve">support the Government’s ambition of ‘no one held </w:t>
      </w:r>
      <w:r w:rsidR="00F70FFF" w:rsidRPr="009C4CA0">
        <w:rPr>
          <w:rFonts w:ascii="Calibri" w:hAnsi="Calibri" w:cs="Calibri"/>
          <w:color w:val="000000"/>
        </w:rPr>
        <w:t>back,</w:t>
      </w:r>
      <w:r w:rsidRPr="009C4CA0">
        <w:rPr>
          <w:rFonts w:ascii="Calibri" w:hAnsi="Calibri" w:cs="Calibri"/>
          <w:color w:val="000000"/>
        </w:rPr>
        <w:t xml:space="preserve"> and no one left behind’, and</w:t>
      </w:r>
    </w:p>
    <w:p w14:paraId="5B519E5E" w14:textId="39786331" w:rsidR="00E41B74" w:rsidRPr="009C4CA0" w:rsidRDefault="008073F9" w:rsidP="009C4CA0">
      <w:pPr>
        <w:pStyle w:val="ListParagraph"/>
        <w:numPr>
          <w:ilvl w:val="0"/>
          <w:numId w:val="27"/>
        </w:numPr>
        <w:spacing w:before="120" w:line="240" w:lineRule="auto"/>
        <w:ind w:left="426" w:hanging="426"/>
        <w:jc w:val="both"/>
        <w:rPr>
          <w:rFonts w:ascii="Calibri" w:hAnsi="Calibri" w:cs="Calibri"/>
          <w:color w:val="000000"/>
        </w:rPr>
      </w:pPr>
      <w:r w:rsidRPr="009C4CA0">
        <w:rPr>
          <w:rFonts w:ascii="Calibri" w:hAnsi="Calibri" w:cs="Calibri"/>
          <w:color w:val="000000"/>
        </w:rPr>
        <w:t>support gender equality opportunities in their regions.</w:t>
      </w:r>
    </w:p>
    <w:p w14:paraId="3E8D4521" w14:textId="074AA8B7" w:rsidR="00566C7F" w:rsidRPr="004D7E57" w:rsidRDefault="00566C7F" w:rsidP="00466D13">
      <w:pPr>
        <w:pStyle w:val="Heading1"/>
      </w:pPr>
      <w:r w:rsidRPr="004D7E57">
        <w:t>Collaboration</w:t>
      </w:r>
      <w:bookmarkEnd w:id="2"/>
      <w:bookmarkEnd w:id="3"/>
      <w:r w:rsidR="004D7E57" w:rsidRPr="004D7E57">
        <w:t xml:space="preserve"> Statement</w:t>
      </w:r>
    </w:p>
    <w:p w14:paraId="073D5281" w14:textId="7887C14E" w:rsidR="00E41B74" w:rsidRPr="00E41B74" w:rsidRDefault="00E41B74" w:rsidP="00466D13">
      <w:pPr>
        <w:pStyle w:val="Heading2"/>
      </w:pPr>
      <w:bookmarkStart w:id="4" w:name="_Toc116477010"/>
      <w:r w:rsidRPr="00E41B74">
        <w:t>Victorian RDA Network</w:t>
      </w:r>
    </w:p>
    <w:p w14:paraId="6B962C27" w14:textId="5776E508" w:rsidR="00F01838" w:rsidRDefault="00F01838" w:rsidP="00F01838">
      <w:pPr>
        <w:spacing w:before="120" w:line="240" w:lineRule="auto"/>
        <w:jc w:val="both"/>
        <w:rPr>
          <w:rFonts w:ascii="Calibri" w:hAnsi="Calibri" w:cs="Calibri"/>
          <w:color w:val="000000"/>
        </w:rPr>
      </w:pPr>
      <w:r>
        <w:rPr>
          <w:rFonts w:ascii="Calibri" w:hAnsi="Calibri" w:cs="Calibri"/>
          <w:color w:val="000000"/>
        </w:rPr>
        <w:t>RDA Hume is actively involved with the Victorian RDA Chair’s Network which comes together to identify and undertake projects relating to state-wide focus areas and priorities. These include key workers housing, digital capability, workforce, skills and renewable energy.</w:t>
      </w:r>
    </w:p>
    <w:p w14:paraId="7B28CD19" w14:textId="402F995C" w:rsidR="00F01838" w:rsidRDefault="00F01838" w:rsidP="00F01838">
      <w:pPr>
        <w:spacing w:line="240" w:lineRule="auto"/>
        <w:jc w:val="both"/>
        <w:rPr>
          <w:rFonts w:ascii="Calibri" w:hAnsi="Calibri" w:cs="Calibri"/>
          <w:color w:val="000000"/>
        </w:rPr>
      </w:pPr>
      <w:r>
        <w:rPr>
          <w:rFonts w:ascii="Calibri" w:hAnsi="Calibri" w:cs="Calibri"/>
          <w:color w:val="000000"/>
        </w:rPr>
        <w:t xml:space="preserve">RDA Hume remains committed to collaborating with and supporting the RDA Melbourne Committee as it consolidates its new role to identify and develop opportunities to improve economic, employment and </w:t>
      </w:r>
      <w:r w:rsidR="003E542B">
        <w:rPr>
          <w:rFonts w:ascii="Calibri" w:hAnsi="Calibri" w:cs="Calibri"/>
          <w:color w:val="000000"/>
        </w:rPr>
        <w:t xml:space="preserve">investment </w:t>
      </w:r>
      <w:r>
        <w:rPr>
          <w:rFonts w:ascii="Calibri" w:hAnsi="Calibri" w:cs="Calibri"/>
          <w:color w:val="000000"/>
        </w:rPr>
        <w:t>linkage</w:t>
      </w:r>
      <w:r w:rsidR="003E542B">
        <w:rPr>
          <w:rFonts w:ascii="Calibri" w:hAnsi="Calibri" w:cs="Calibri"/>
          <w:color w:val="000000"/>
        </w:rPr>
        <w:t>s</w:t>
      </w:r>
      <w:r>
        <w:rPr>
          <w:rFonts w:ascii="Calibri" w:hAnsi="Calibri" w:cs="Calibri"/>
          <w:color w:val="000000"/>
        </w:rPr>
        <w:t xml:space="preserve"> between Melbourne and regional Victoria. </w:t>
      </w:r>
    </w:p>
    <w:p w14:paraId="35AA6657" w14:textId="056F8D0D" w:rsidR="00E41B74" w:rsidRPr="00E41B74" w:rsidRDefault="00E41B74" w:rsidP="00466D13">
      <w:pPr>
        <w:pStyle w:val="Heading2"/>
      </w:pPr>
      <w:r w:rsidRPr="00E41B74">
        <w:lastRenderedPageBreak/>
        <w:t>Regional Partnerships</w:t>
      </w:r>
    </w:p>
    <w:p w14:paraId="69B7874D" w14:textId="0CB92418" w:rsidR="00F01838" w:rsidRPr="00844A51" w:rsidRDefault="00F01838" w:rsidP="00F01838">
      <w:pPr>
        <w:spacing w:before="120" w:line="240" w:lineRule="auto"/>
        <w:jc w:val="both"/>
        <w:rPr>
          <w:rFonts w:ascii="Calibri" w:hAnsi="Calibri" w:cs="Calibri"/>
          <w:color w:val="000000"/>
        </w:rPr>
      </w:pPr>
      <w:r>
        <w:rPr>
          <w:rFonts w:ascii="Calibri" w:hAnsi="Calibri" w:cs="Calibri"/>
          <w:color w:val="000000"/>
        </w:rPr>
        <w:t>The Victorian Government established n</w:t>
      </w:r>
      <w:r w:rsidRPr="00844A51">
        <w:rPr>
          <w:rFonts w:ascii="Calibri" w:hAnsi="Calibri" w:cs="Calibri"/>
          <w:color w:val="000000"/>
        </w:rPr>
        <w:t xml:space="preserve">ine Regional Partnerships across the state to give regional communities greater say about what matters to them and ensure their priorities are communicated to the highest level of state government. </w:t>
      </w:r>
    </w:p>
    <w:p w14:paraId="40CE74BB" w14:textId="77777777" w:rsidR="00F01838" w:rsidRDefault="00F01838" w:rsidP="00F01838">
      <w:pPr>
        <w:spacing w:line="240" w:lineRule="auto"/>
        <w:jc w:val="both"/>
        <w:rPr>
          <w:rFonts w:ascii="Calibri" w:hAnsi="Calibri" w:cs="Calibri"/>
          <w:color w:val="000000"/>
        </w:rPr>
      </w:pPr>
      <w:r w:rsidRPr="00844A51">
        <w:rPr>
          <w:rFonts w:ascii="Calibri" w:hAnsi="Calibri" w:cs="Calibri"/>
          <w:color w:val="000000"/>
        </w:rPr>
        <w:t xml:space="preserve">There are two Regional Partnerships in the Hume region, the Ovens Murray </w:t>
      </w:r>
      <w:r>
        <w:rPr>
          <w:rFonts w:ascii="Calibri" w:hAnsi="Calibri" w:cs="Calibri"/>
          <w:color w:val="000000"/>
        </w:rPr>
        <w:t xml:space="preserve">Regional Partnership (OMRP) </w:t>
      </w:r>
      <w:r w:rsidRPr="00844A51">
        <w:rPr>
          <w:rFonts w:ascii="Calibri" w:hAnsi="Calibri" w:cs="Calibri"/>
          <w:color w:val="000000"/>
        </w:rPr>
        <w:t xml:space="preserve">and </w:t>
      </w:r>
      <w:r>
        <w:rPr>
          <w:rFonts w:ascii="Calibri" w:hAnsi="Calibri" w:cs="Calibri"/>
          <w:color w:val="000000"/>
        </w:rPr>
        <w:t xml:space="preserve">the </w:t>
      </w:r>
      <w:r w:rsidRPr="00844A51">
        <w:rPr>
          <w:rFonts w:ascii="Calibri" w:hAnsi="Calibri" w:cs="Calibri"/>
          <w:color w:val="000000"/>
        </w:rPr>
        <w:t>Goulburn Regional Partnership</w:t>
      </w:r>
      <w:r>
        <w:rPr>
          <w:rFonts w:ascii="Calibri" w:hAnsi="Calibri" w:cs="Calibri"/>
          <w:color w:val="000000"/>
        </w:rPr>
        <w:t xml:space="preserve"> (GRP)</w:t>
      </w:r>
      <w:r w:rsidRPr="00844A51">
        <w:rPr>
          <w:rFonts w:ascii="Calibri" w:hAnsi="Calibri" w:cs="Calibri"/>
          <w:color w:val="000000"/>
        </w:rPr>
        <w:t xml:space="preserve">. </w:t>
      </w:r>
    </w:p>
    <w:p w14:paraId="2A99CF6E" w14:textId="4B610904" w:rsidR="00F01838" w:rsidRDefault="00F01838" w:rsidP="00F01838">
      <w:pPr>
        <w:rPr>
          <w:rFonts w:ascii="Calibri" w:hAnsi="Calibri" w:cs="Calibri"/>
          <w:color w:val="000000"/>
        </w:rPr>
      </w:pPr>
      <w:r w:rsidRPr="00844A51">
        <w:rPr>
          <w:rFonts w:ascii="Calibri" w:hAnsi="Calibri" w:cs="Calibri"/>
          <w:color w:val="000000"/>
        </w:rPr>
        <w:t xml:space="preserve">RDA Hume has been represented on </w:t>
      </w:r>
      <w:r>
        <w:rPr>
          <w:rFonts w:ascii="Calibri" w:hAnsi="Calibri" w:cs="Calibri"/>
          <w:color w:val="000000"/>
        </w:rPr>
        <w:t>both regional partnerships since July 2016</w:t>
      </w:r>
      <w:r w:rsidRPr="00844A51">
        <w:rPr>
          <w:rFonts w:ascii="Calibri" w:hAnsi="Calibri" w:cs="Calibri"/>
          <w:color w:val="000000"/>
        </w:rPr>
        <w:t xml:space="preserve">. </w:t>
      </w:r>
      <w:r>
        <w:rPr>
          <w:rFonts w:ascii="Calibri" w:hAnsi="Calibri" w:cs="Calibri"/>
          <w:color w:val="000000"/>
        </w:rPr>
        <w:t xml:space="preserve">This has deepened RDA Hume’s collaborative activities across all three tiers of government. It has also increased its knowledge and advocacy opportunities back into </w:t>
      </w:r>
      <w:r w:rsidRPr="00844A51">
        <w:rPr>
          <w:rFonts w:ascii="Calibri" w:hAnsi="Calibri" w:cs="Calibri"/>
          <w:color w:val="000000"/>
        </w:rPr>
        <w:t>the Australian Government</w:t>
      </w:r>
      <w:r>
        <w:rPr>
          <w:rFonts w:ascii="Calibri" w:hAnsi="Calibri" w:cs="Calibri"/>
          <w:color w:val="000000"/>
        </w:rPr>
        <w:t xml:space="preserve"> and assists to connect the Commonwealth’s</w:t>
      </w:r>
      <w:r w:rsidRPr="00844A51">
        <w:rPr>
          <w:rFonts w:ascii="Calibri" w:hAnsi="Calibri" w:cs="Calibri"/>
          <w:color w:val="000000"/>
        </w:rPr>
        <w:t xml:space="preserve"> regional </w:t>
      </w:r>
      <w:r>
        <w:rPr>
          <w:rFonts w:ascii="Calibri" w:hAnsi="Calibri" w:cs="Calibri"/>
          <w:color w:val="000000"/>
        </w:rPr>
        <w:t>priorities and goals</w:t>
      </w:r>
      <w:r w:rsidRPr="00844A51">
        <w:rPr>
          <w:rFonts w:ascii="Calibri" w:hAnsi="Calibri" w:cs="Calibri"/>
          <w:color w:val="000000"/>
        </w:rPr>
        <w:t xml:space="preserve"> with the other two tiers of government.</w:t>
      </w:r>
    </w:p>
    <w:p w14:paraId="6846FBE6" w14:textId="2879AE5D" w:rsidR="00E41B74" w:rsidRPr="00E41B74" w:rsidRDefault="00E41B74" w:rsidP="00466D13">
      <w:pPr>
        <w:pStyle w:val="Heading2"/>
      </w:pPr>
      <w:r w:rsidRPr="00E41B74">
        <w:t>Regional Development Victoria</w:t>
      </w:r>
    </w:p>
    <w:bookmarkEnd w:id="4"/>
    <w:p w14:paraId="70F62E64" w14:textId="7FE80C3F" w:rsidR="004D7E57" w:rsidRDefault="00566C7F" w:rsidP="00B3788F">
      <w:pPr>
        <w:autoSpaceDE w:val="0"/>
        <w:autoSpaceDN w:val="0"/>
        <w:adjustRightInd w:val="0"/>
        <w:spacing w:before="120" w:after="0" w:line="240" w:lineRule="auto"/>
        <w:jc w:val="both"/>
        <w:rPr>
          <w:rFonts w:ascii="Calibri" w:hAnsi="Calibri" w:cs="Calibri"/>
          <w:color w:val="000000"/>
        </w:rPr>
      </w:pPr>
      <w:r w:rsidRPr="002D7C9C">
        <w:rPr>
          <w:rFonts w:ascii="Calibri" w:hAnsi="Calibri" w:cs="Calibri"/>
          <w:color w:val="000000"/>
        </w:rPr>
        <w:t xml:space="preserve">RDA </w:t>
      </w:r>
      <w:r>
        <w:rPr>
          <w:rFonts w:ascii="Calibri" w:hAnsi="Calibri" w:cs="Calibri"/>
          <w:color w:val="000000"/>
        </w:rPr>
        <w:t xml:space="preserve">Hume will continue its work collaborating with Regional Development Victoria </w:t>
      </w:r>
      <w:r w:rsidR="004D7E57">
        <w:rPr>
          <w:rFonts w:ascii="Calibri" w:hAnsi="Calibri" w:cs="Calibri"/>
          <w:color w:val="000000"/>
        </w:rPr>
        <w:t xml:space="preserve">(RDV) </w:t>
      </w:r>
      <w:r>
        <w:rPr>
          <w:rFonts w:ascii="Calibri" w:hAnsi="Calibri" w:cs="Calibri"/>
          <w:color w:val="000000"/>
        </w:rPr>
        <w:t>to support the</w:t>
      </w:r>
      <w:r w:rsidRPr="002D7C9C">
        <w:rPr>
          <w:rFonts w:ascii="Calibri" w:hAnsi="Calibri" w:cs="Calibri"/>
          <w:color w:val="000000"/>
        </w:rPr>
        <w:t xml:space="preserve"> Victorian </w:t>
      </w:r>
      <w:r>
        <w:rPr>
          <w:rFonts w:ascii="Calibri" w:hAnsi="Calibri" w:cs="Calibri"/>
          <w:color w:val="000000"/>
        </w:rPr>
        <w:t xml:space="preserve">State </w:t>
      </w:r>
      <w:r w:rsidRPr="002D7C9C">
        <w:rPr>
          <w:rFonts w:ascii="Calibri" w:hAnsi="Calibri" w:cs="Calibri"/>
          <w:color w:val="000000"/>
        </w:rPr>
        <w:t xml:space="preserve">Government to </w:t>
      </w:r>
      <w:r>
        <w:rPr>
          <w:rFonts w:ascii="Calibri" w:hAnsi="Calibri" w:cs="Calibri"/>
          <w:color w:val="000000"/>
        </w:rPr>
        <w:t>implement its Regional Economic Development Strategies (REDS) and the related strategic priority activities for the Hume Region</w:t>
      </w:r>
      <w:r w:rsidR="004D7E57">
        <w:rPr>
          <w:rFonts w:ascii="Calibri" w:hAnsi="Calibri" w:cs="Calibri"/>
          <w:color w:val="000000"/>
        </w:rPr>
        <w:t>.</w:t>
      </w:r>
    </w:p>
    <w:p w14:paraId="120A80F9" w14:textId="6207A241" w:rsidR="00566C7F" w:rsidRDefault="00566C7F" w:rsidP="00B3788F">
      <w:pPr>
        <w:autoSpaceDE w:val="0"/>
        <w:autoSpaceDN w:val="0"/>
        <w:adjustRightInd w:val="0"/>
        <w:spacing w:before="120" w:line="240" w:lineRule="auto"/>
        <w:jc w:val="both"/>
      </w:pPr>
      <w:r>
        <w:t xml:space="preserve">RDA Hume’s active support of both the Victorian Government’s REDs and the RPs, has </w:t>
      </w:r>
      <w:r w:rsidRPr="00A57B01">
        <w:t>strengthen</w:t>
      </w:r>
      <w:r>
        <w:t>ed RDA Hume’s</w:t>
      </w:r>
      <w:r w:rsidRPr="00A57B01">
        <w:t xml:space="preserve"> capacity to provide comprehensive advice on socio-economic issues and economic development opportunities </w:t>
      </w:r>
      <w:r w:rsidR="004D7E57">
        <w:t>back to the Australian Government</w:t>
      </w:r>
      <w:r>
        <w:t>.</w:t>
      </w:r>
    </w:p>
    <w:p w14:paraId="7449CE7C" w14:textId="5E4633BE" w:rsidR="00E41B74" w:rsidRPr="00E41B74" w:rsidRDefault="00E41B74" w:rsidP="00466D13">
      <w:pPr>
        <w:pStyle w:val="Heading2"/>
      </w:pPr>
      <w:r w:rsidRPr="00E41B74">
        <w:t>Local Government Areas</w:t>
      </w:r>
    </w:p>
    <w:p w14:paraId="39796BF6" w14:textId="709756DF" w:rsidR="004D7E57" w:rsidRDefault="004D7E57" w:rsidP="00B3788F">
      <w:pPr>
        <w:autoSpaceDE w:val="0"/>
        <w:autoSpaceDN w:val="0"/>
        <w:adjustRightInd w:val="0"/>
        <w:spacing w:before="120" w:line="240" w:lineRule="auto"/>
        <w:jc w:val="both"/>
        <w:rPr>
          <w:rFonts w:ascii="Calibri" w:hAnsi="Calibri" w:cs="Calibri"/>
          <w:color w:val="000000"/>
        </w:rPr>
      </w:pPr>
      <w:r>
        <w:rPr>
          <w:rFonts w:ascii="Calibri" w:hAnsi="Calibri" w:cs="Calibri"/>
          <w:color w:val="000000"/>
        </w:rPr>
        <w:t xml:space="preserve">RDA Hume has strong and </w:t>
      </w:r>
      <w:r w:rsidR="003D7687">
        <w:rPr>
          <w:rFonts w:ascii="Calibri" w:hAnsi="Calibri" w:cs="Calibri"/>
          <w:color w:val="000000"/>
        </w:rPr>
        <w:t>well-established</w:t>
      </w:r>
      <w:r>
        <w:rPr>
          <w:rFonts w:ascii="Calibri" w:hAnsi="Calibri" w:cs="Calibri"/>
          <w:color w:val="000000"/>
        </w:rPr>
        <w:t xml:space="preserve"> </w:t>
      </w:r>
      <w:r w:rsidR="00C00006">
        <w:rPr>
          <w:rFonts w:ascii="Calibri" w:hAnsi="Calibri" w:cs="Calibri"/>
          <w:color w:val="000000"/>
        </w:rPr>
        <w:t>relationships</w:t>
      </w:r>
      <w:r>
        <w:rPr>
          <w:rFonts w:ascii="Calibri" w:hAnsi="Calibri" w:cs="Calibri"/>
          <w:color w:val="000000"/>
        </w:rPr>
        <w:t xml:space="preserve"> with all twelve of its local government areas and Alpine Resorts Victoria. It continues to develop its role as a direct entry point for smaller regional areas to communicate their priorities and seek support to develop solutions from all levels of government.</w:t>
      </w:r>
    </w:p>
    <w:p w14:paraId="0F314090" w14:textId="77777777" w:rsidR="004D7E57" w:rsidRPr="00C11BD4" w:rsidRDefault="004D7E57" w:rsidP="00466D13">
      <w:pPr>
        <w:pStyle w:val="Heading2"/>
      </w:pPr>
      <w:bookmarkStart w:id="5" w:name="_Toc116477014"/>
      <w:r w:rsidRPr="00C11BD4">
        <w:t>Hume Economic Development Network (HEDN)</w:t>
      </w:r>
      <w:bookmarkEnd w:id="5"/>
    </w:p>
    <w:p w14:paraId="30F1F646" w14:textId="77777777" w:rsidR="00324C71" w:rsidRDefault="00324C71" w:rsidP="00324C71">
      <w:r>
        <w:t xml:space="preserve">Since 2018, RDA Hume has been dedicated to funding and facilitating the development of its Local Government Areas to strengthen their economic development capability, capacity and functions </w:t>
      </w:r>
      <w:proofErr w:type="gramStart"/>
      <w:r>
        <w:t>in order to</w:t>
      </w:r>
      <w:proofErr w:type="gramEnd"/>
      <w:r>
        <w:t xml:space="preserve"> successfully obtain economic recovery and growth for the Hume Region.</w:t>
      </w:r>
    </w:p>
    <w:p w14:paraId="4D819619" w14:textId="043454C8" w:rsidR="00324C71" w:rsidRDefault="00324C71" w:rsidP="00324C71">
      <w:r>
        <w:t xml:space="preserve">The Hume Economic Development Network (HEDN) comprises members from all twelve of the Hume Region’s local government agencies and the newly formed Alpine Resorts Victoria. The program </w:t>
      </w:r>
      <w:r w:rsidR="00F90078">
        <w:t xml:space="preserve">continues to </w:t>
      </w:r>
      <w:r w:rsidR="00496A0E">
        <w:t xml:space="preserve">focus </w:t>
      </w:r>
      <w:r>
        <w:t>on skills development and training needed to create the conditions that are required for improving local economic viability and sustainability. The sessions are conducted by highly skilled and respected experts in their field.</w:t>
      </w:r>
    </w:p>
    <w:p w14:paraId="7F681F89" w14:textId="66A525CA" w:rsidR="00324C71" w:rsidRDefault="00324C71" w:rsidP="00324C71">
      <w:r>
        <w:t xml:space="preserve">HEDN is regularly briefed on critical issues that impact the whole of </w:t>
      </w:r>
      <w:r w:rsidR="00CC42A0">
        <w:t xml:space="preserve">the </w:t>
      </w:r>
      <w:r>
        <w:t>Hume region to broaden the members knowledge and understanding beyond their own area. These briefings also provide a more integrated method to collecting insights and data across the region. HEDN’s role has therefore been expanded from skills and knowledge capacity development to include reporting functions back to RDA Hume to provide deeper place-based communications and feedback to all three levels of government.</w:t>
      </w:r>
    </w:p>
    <w:p w14:paraId="13D2E78B" w14:textId="18F2266A" w:rsidR="00C11BD4" w:rsidRPr="00C11BD4" w:rsidRDefault="00C11BD4" w:rsidP="00466D13">
      <w:pPr>
        <w:pStyle w:val="Heading2"/>
      </w:pPr>
      <w:bookmarkStart w:id="6" w:name="_Toc508967719"/>
      <w:bookmarkStart w:id="7" w:name="_Toc116477015"/>
      <w:r w:rsidRPr="00C11BD4">
        <w:lastRenderedPageBreak/>
        <w:t>Australian Government Agencies</w:t>
      </w:r>
    </w:p>
    <w:p w14:paraId="39AFBE66" w14:textId="77777777" w:rsidR="00C00006" w:rsidRDefault="00C00006" w:rsidP="00C00006">
      <w:pPr>
        <w:autoSpaceDE w:val="0"/>
        <w:autoSpaceDN w:val="0"/>
        <w:adjustRightInd w:val="0"/>
        <w:spacing w:before="120" w:line="240" w:lineRule="auto"/>
        <w:jc w:val="both"/>
        <w:rPr>
          <w:rFonts w:ascii="Calibri" w:hAnsi="Calibri" w:cs="Calibri"/>
          <w:color w:val="000000"/>
        </w:rPr>
      </w:pPr>
      <w:r>
        <w:rPr>
          <w:rFonts w:ascii="Calibri" w:hAnsi="Calibri" w:cs="Calibri"/>
          <w:color w:val="000000"/>
        </w:rPr>
        <w:t>RDA Hume will continue to; with support from the Department of Infrastructure, Transport, Regional Development, Communications and the Arts; develop relationships with other Australian Government department and agencies whose portfolios relate to RDA Hume’s key strategic focus areas. RDA Hume will continue to include sessions with Australian Government entities at its bi-monthly meeting to enable sharing of information and relationships building.</w:t>
      </w:r>
    </w:p>
    <w:bookmarkEnd w:id="6"/>
    <w:bookmarkEnd w:id="7"/>
    <w:p w14:paraId="71005556" w14:textId="77777777" w:rsidR="00324C71" w:rsidRPr="00A07635" w:rsidRDefault="00324C71" w:rsidP="00466D13">
      <w:pPr>
        <w:pStyle w:val="Heading1"/>
      </w:pPr>
      <w:r>
        <w:t>Communications Strategy</w:t>
      </w:r>
    </w:p>
    <w:p w14:paraId="34D6C532" w14:textId="77777777" w:rsidR="00324C71" w:rsidRDefault="00324C71" w:rsidP="00324C71">
      <w:pPr>
        <w:rPr>
          <w:rFonts w:ascii="Calibri" w:hAnsi="Calibri" w:cs="Calibri"/>
        </w:rPr>
      </w:pPr>
      <w:r>
        <w:rPr>
          <w:rFonts w:ascii="Calibri" w:hAnsi="Calibri" w:cs="Calibri"/>
        </w:rPr>
        <w:t>RDA Hume Communications Strategy incorporates four key elements:</w:t>
      </w:r>
    </w:p>
    <w:p w14:paraId="2E57D9DE" w14:textId="0F605DB8" w:rsidR="00324C71" w:rsidRPr="0040104A" w:rsidRDefault="00B71343" w:rsidP="00324C71">
      <w:pPr>
        <w:pStyle w:val="ListParagraph"/>
        <w:numPr>
          <w:ilvl w:val="0"/>
          <w:numId w:val="14"/>
        </w:numPr>
        <w:ind w:left="567" w:hanging="567"/>
        <w:rPr>
          <w:rFonts w:ascii="Calibri" w:hAnsi="Calibri" w:cs="Calibri"/>
        </w:rPr>
      </w:pPr>
      <w:r>
        <w:rPr>
          <w:rFonts w:ascii="Calibri" w:hAnsi="Calibri" w:cs="Calibri"/>
        </w:rPr>
        <w:t>C</w:t>
      </w:r>
      <w:r w:rsidR="00120232">
        <w:rPr>
          <w:rFonts w:ascii="Calibri" w:hAnsi="Calibri" w:cs="Calibri"/>
        </w:rPr>
        <w:t>on</w:t>
      </w:r>
      <w:r>
        <w:rPr>
          <w:rFonts w:ascii="Calibri" w:hAnsi="Calibri" w:cs="Calibri"/>
        </w:rPr>
        <w:t xml:space="preserve">tinue to </w:t>
      </w:r>
      <w:r w:rsidR="00324C71">
        <w:rPr>
          <w:rFonts w:ascii="Calibri" w:hAnsi="Calibri" w:cs="Calibri"/>
        </w:rPr>
        <w:t xml:space="preserve">develop RDA Hume’s identity and raise its profile within the Hume </w:t>
      </w:r>
      <w:r w:rsidR="00F70FFF">
        <w:rPr>
          <w:rFonts w:ascii="Calibri" w:hAnsi="Calibri" w:cs="Calibri"/>
        </w:rPr>
        <w:t>Region.</w:t>
      </w:r>
    </w:p>
    <w:p w14:paraId="7B4DF728" w14:textId="104AAD9E" w:rsidR="00324C71" w:rsidRDefault="00324C71" w:rsidP="00324C71">
      <w:pPr>
        <w:pStyle w:val="ListParagraph"/>
        <w:numPr>
          <w:ilvl w:val="0"/>
          <w:numId w:val="14"/>
        </w:numPr>
        <w:ind w:left="567" w:hanging="567"/>
        <w:rPr>
          <w:rFonts w:ascii="Calibri" w:hAnsi="Calibri" w:cs="Calibri"/>
        </w:rPr>
      </w:pPr>
      <w:r>
        <w:rPr>
          <w:rFonts w:ascii="Calibri" w:hAnsi="Calibri" w:cs="Calibri"/>
        </w:rPr>
        <w:t xml:space="preserve">Regular communication with key stakeholders to promote government program and funding </w:t>
      </w:r>
      <w:r w:rsidR="00F70FFF">
        <w:rPr>
          <w:rFonts w:ascii="Calibri" w:hAnsi="Calibri" w:cs="Calibri"/>
        </w:rPr>
        <w:t>opportunities.</w:t>
      </w:r>
    </w:p>
    <w:p w14:paraId="790FADBE" w14:textId="77777777" w:rsidR="00324C71" w:rsidRDefault="00324C71" w:rsidP="00324C71">
      <w:pPr>
        <w:pStyle w:val="ListParagraph"/>
        <w:numPr>
          <w:ilvl w:val="0"/>
          <w:numId w:val="14"/>
        </w:numPr>
        <w:ind w:left="567" w:hanging="567"/>
        <w:rPr>
          <w:rFonts w:ascii="Calibri" w:hAnsi="Calibri" w:cs="Calibri"/>
        </w:rPr>
      </w:pPr>
      <w:r>
        <w:rPr>
          <w:rFonts w:ascii="Calibri" w:hAnsi="Calibri" w:cs="Calibri"/>
        </w:rPr>
        <w:t>Create products to support development and dissemination of government messaging; and</w:t>
      </w:r>
    </w:p>
    <w:p w14:paraId="698947BC" w14:textId="03795CA9" w:rsidR="00324C71" w:rsidRDefault="00A60661" w:rsidP="00324C71">
      <w:pPr>
        <w:pStyle w:val="ListParagraph"/>
        <w:numPr>
          <w:ilvl w:val="0"/>
          <w:numId w:val="14"/>
        </w:numPr>
        <w:ind w:left="567" w:hanging="567"/>
        <w:rPr>
          <w:rFonts w:ascii="Calibri" w:hAnsi="Calibri" w:cs="Calibri"/>
        </w:rPr>
      </w:pPr>
      <w:r>
        <w:rPr>
          <w:rFonts w:ascii="Calibri" w:hAnsi="Calibri" w:cs="Calibri"/>
        </w:rPr>
        <w:t xml:space="preserve"> Planned</w:t>
      </w:r>
      <w:r w:rsidR="00324C71">
        <w:rPr>
          <w:rFonts w:ascii="Calibri" w:hAnsi="Calibri" w:cs="Calibri"/>
        </w:rPr>
        <w:t xml:space="preserve"> engagement with stakeholders to acquire local insights and input to include in advice back to all three levels of government</w:t>
      </w:r>
    </w:p>
    <w:p w14:paraId="5291DEEC" w14:textId="77777777" w:rsidR="00324C71" w:rsidRDefault="00324C71" w:rsidP="00324C71">
      <w:pPr>
        <w:rPr>
          <w:rFonts w:ascii="Calibri" w:hAnsi="Calibri" w:cs="Calibri"/>
        </w:rPr>
      </w:pPr>
      <w:r>
        <w:rPr>
          <w:rFonts w:ascii="Calibri" w:hAnsi="Calibri" w:cs="Calibri"/>
        </w:rPr>
        <w:t>To implement these strategies, RDA Hume has developed a communications plan for the next twelve months that includes:</w:t>
      </w:r>
    </w:p>
    <w:p w14:paraId="4121E597" w14:textId="77777777" w:rsidR="00324C71" w:rsidRDefault="00324C71" w:rsidP="00324C71">
      <w:pPr>
        <w:pStyle w:val="ListParagraph"/>
        <w:numPr>
          <w:ilvl w:val="0"/>
          <w:numId w:val="15"/>
        </w:numPr>
        <w:ind w:left="567" w:hanging="567"/>
        <w:rPr>
          <w:rFonts w:ascii="Calibri" w:hAnsi="Calibri" w:cs="Calibri"/>
        </w:rPr>
      </w:pPr>
      <w:r w:rsidRPr="0040104A">
        <w:rPr>
          <w:rFonts w:ascii="Calibri" w:hAnsi="Calibri" w:cs="Calibri"/>
          <w:b/>
          <w:bCs/>
        </w:rPr>
        <w:t>Identify &amp; Profile:</w:t>
      </w:r>
      <w:r>
        <w:rPr>
          <w:rFonts w:ascii="Calibri" w:hAnsi="Calibri" w:cs="Calibri"/>
        </w:rPr>
        <w:t xml:space="preserve"> A quarterly e-newsletter containing articles relating to economic development issues and interests, member profiles and insights and updates on government programs and events across the region. The e-newsletter is sent to key stakeholders and is open to the public to register and be placed on the distribution list. Regular media releases on issues, projects and programs are issued to media in the region. The media releases serve to help raise the profile of RDA Hume in the region.</w:t>
      </w:r>
    </w:p>
    <w:p w14:paraId="4C71B43C" w14:textId="61E48048" w:rsidR="00324C71" w:rsidRDefault="00324C71" w:rsidP="00324C71">
      <w:pPr>
        <w:pStyle w:val="ListParagraph"/>
        <w:numPr>
          <w:ilvl w:val="0"/>
          <w:numId w:val="15"/>
        </w:numPr>
        <w:ind w:left="567" w:hanging="567"/>
        <w:rPr>
          <w:rFonts w:ascii="Calibri" w:hAnsi="Calibri" w:cs="Calibri"/>
        </w:rPr>
      </w:pPr>
      <w:r>
        <w:rPr>
          <w:rFonts w:ascii="Calibri" w:hAnsi="Calibri" w:cs="Calibri"/>
          <w:b/>
          <w:bCs/>
        </w:rPr>
        <w:t xml:space="preserve">Key </w:t>
      </w:r>
      <w:r w:rsidRPr="0040104A">
        <w:rPr>
          <w:rFonts w:ascii="Calibri" w:hAnsi="Calibri" w:cs="Calibri"/>
          <w:b/>
          <w:bCs/>
        </w:rPr>
        <w:t xml:space="preserve">Stakeholder </w:t>
      </w:r>
      <w:r>
        <w:rPr>
          <w:rFonts w:ascii="Calibri" w:hAnsi="Calibri" w:cs="Calibri"/>
          <w:b/>
          <w:bCs/>
        </w:rPr>
        <w:t>Communication</w:t>
      </w:r>
      <w:r w:rsidRPr="0040104A">
        <w:rPr>
          <w:rFonts w:ascii="Calibri" w:hAnsi="Calibri" w:cs="Calibri"/>
          <w:b/>
          <w:bCs/>
        </w:rPr>
        <w:t>:</w:t>
      </w:r>
      <w:r>
        <w:rPr>
          <w:rFonts w:ascii="Calibri" w:hAnsi="Calibri" w:cs="Calibri"/>
        </w:rPr>
        <w:t xml:space="preserve"> </w:t>
      </w:r>
      <w:r w:rsidR="006D5CFA">
        <w:rPr>
          <w:rFonts w:ascii="Calibri" w:hAnsi="Calibri" w:cs="Calibri"/>
        </w:rPr>
        <w:t xml:space="preserve">Monthly </w:t>
      </w:r>
      <w:r>
        <w:rPr>
          <w:rFonts w:ascii="Calibri" w:hAnsi="Calibri" w:cs="Calibri"/>
        </w:rPr>
        <w:t>‘Chair’s Update’ emails sent to key stakeholders with an overview of current RDA Hume activities, ‘hot’ issues, events, as well as program and funding opportunities. A direct communication with key stakeholders where they can provide input and feedback directly to the Chair on specific projects. Items from these communiques are also used to continuously update the RDA Hume LinkedIn page.</w:t>
      </w:r>
    </w:p>
    <w:p w14:paraId="411C4E98" w14:textId="77777777" w:rsidR="00324C71" w:rsidRDefault="00324C71" w:rsidP="00324C71">
      <w:pPr>
        <w:pStyle w:val="ListParagraph"/>
        <w:numPr>
          <w:ilvl w:val="0"/>
          <w:numId w:val="15"/>
        </w:numPr>
        <w:ind w:left="567" w:hanging="567"/>
        <w:rPr>
          <w:rFonts w:ascii="Calibri" w:hAnsi="Calibri" w:cs="Calibri"/>
        </w:rPr>
      </w:pPr>
      <w:r w:rsidRPr="00BF6BD3">
        <w:rPr>
          <w:rFonts w:ascii="Calibri" w:hAnsi="Calibri" w:cs="Calibri"/>
          <w:b/>
          <w:bCs/>
        </w:rPr>
        <w:t>Product Development:</w:t>
      </w:r>
      <w:r>
        <w:rPr>
          <w:rFonts w:ascii="Calibri" w:hAnsi="Calibri" w:cs="Calibri"/>
        </w:rPr>
        <w:t xml:space="preserve"> includes collateral items such as the RDA Hume videos, housing prospectus, information sheets, plan on a page, media releases and other material as required.</w:t>
      </w:r>
    </w:p>
    <w:p w14:paraId="75FFED2A" w14:textId="77777777" w:rsidR="00324C71" w:rsidRDefault="00324C71" w:rsidP="00324C71">
      <w:pPr>
        <w:pStyle w:val="ListParagraph"/>
        <w:numPr>
          <w:ilvl w:val="0"/>
          <w:numId w:val="15"/>
        </w:numPr>
        <w:ind w:left="567" w:hanging="567"/>
        <w:rPr>
          <w:rFonts w:ascii="Calibri" w:hAnsi="Calibri" w:cs="Calibri"/>
        </w:rPr>
      </w:pPr>
      <w:r>
        <w:rPr>
          <w:rFonts w:ascii="Calibri" w:hAnsi="Calibri" w:cs="Calibri"/>
          <w:b/>
          <w:bCs/>
        </w:rPr>
        <w:t>Engagement &amp; Consultation</w:t>
      </w:r>
      <w:r>
        <w:rPr>
          <w:rFonts w:ascii="Calibri" w:hAnsi="Calibri" w:cs="Calibri"/>
        </w:rPr>
        <w:t>: HEDN meetings, industry roundtables, forums, workshops and industry briefings.</w:t>
      </w:r>
    </w:p>
    <w:p w14:paraId="763A5D30" w14:textId="77777777" w:rsidR="00324C71" w:rsidRPr="00C26648" w:rsidRDefault="00324C71" w:rsidP="00324C71">
      <w:pPr>
        <w:rPr>
          <w:rFonts w:ascii="Calibri" w:hAnsi="Calibri" w:cs="Calibri"/>
          <w:b/>
          <w:bCs/>
        </w:rPr>
      </w:pPr>
      <w:r w:rsidRPr="00C26648">
        <w:rPr>
          <w:rFonts w:ascii="Calibri" w:hAnsi="Calibri" w:cs="Calibri"/>
          <w:b/>
          <w:bCs/>
        </w:rPr>
        <w:t>Other planned communication activities include:</w:t>
      </w:r>
    </w:p>
    <w:p w14:paraId="3816013C" w14:textId="78BC8F4C" w:rsidR="00324C71" w:rsidRDefault="00FD704B" w:rsidP="00324C71">
      <w:pPr>
        <w:pStyle w:val="ListParagraph"/>
        <w:numPr>
          <w:ilvl w:val="0"/>
          <w:numId w:val="15"/>
        </w:numPr>
        <w:ind w:left="567" w:hanging="567"/>
        <w:rPr>
          <w:rFonts w:ascii="Calibri" w:hAnsi="Calibri" w:cs="Calibri"/>
        </w:rPr>
      </w:pPr>
      <w:r>
        <w:rPr>
          <w:rFonts w:ascii="Calibri" w:hAnsi="Calibri" w:cs="Calibri"/>
        </w:rPr>
        <w:t>Bimonthly</w:t>
      </w:r>
      <w:r w:rsidR="00324C71">
        <w:rPr>
          <w:rFonts w:ascii="Calibri" w:hAnsi="Calibri" w:cs="Calibri"/>
        </w:rPr>
        <w:t xml:space="preserve"> Committee meetings that include sessions from other government agencies and industry experts relating to a key priority focus area.</w:t>
      </w:r>
    </w:p>
    <w:p w14:paraId="3F3A2BF2" w14:textId="77777777" w:rsidR="00324C71" w:rsidRDefault="00324C71" w:rsidP="00324C71">
      <w:pPr>
        <w:pStyle w:val="ListParagraph"/>
        <w:numPr>
          <w:ilvl w:val="0"/>
          <w:numId w:val="15"/>
        </w:numPr>
        <w:ind w:left="567" w:hanging="567"/>
        <w:rPr>
          <w:rFonts w:ascii="Calibri" w:hAnsi="Calibri" w:cs="Calibri"/>
        </w:rPr>
      </w:pPr>
      <w:r>
        <w:rPr>
          <w:rFonts w:ascii="Calibri" w:hAnsi="Calibri" w:cs="Calibri"/>
        </w:rPr>
        <w:t>Continuous updates and maintenance of the RDA Hume funded Hume Region Priority Projects database.</w:t>
      </w:r>
    </w:p>
    <w:p w14:paraId="35B4B1E4" w14:textId="77777777" w:rsidR="00324C71" w:rsidRDefault="00324C71" w:rsidP="00324C71">
      <w:pPr>
        <w:pStyle w:val="ListParagraph"/>
        <w:numPr>
          <w:ilvl w:val="0"/>
          <w:numId w:val="15"/>
        </w:numPr>
        <w:ind w:left="567" w:hanging="567"/>
        <w:rPr>
          <w:rFonts w:ascii="Calibri" w:hAnsi="Calibri" w:cs="Calibri"/>
        </w:rPr>
      </w:pPr>
      <w:r>
        <w:rPr>
          <w:rFonts w:ascii="Calibri" w:hAnsi="Calibri" w:cs="Calibri"/>
        </w:rPr>
        <w:t>Regular updates of the RDA Hume website and LinkedIn account.</w:t>
      </w:r>
    </w:p>
    <w:p w14:paraId="70193C89" w14:textId="77777777" w:rsidR="00324C71" w:rsidRDefault="00324C71" w:rsidP="00324C71">
      <w:pPr>
        <w:pStyle w:val="ListParagraph"/>
        <w:numPr>
          <w:ilvl w:val="0"/>
          <w:numId w:val="15"/>
        </w:numPr>
        <w:ind w:left="567" w:hanging="567"/>
        <w:rPr>
          <w:rFonts w:ascii="Calibri" w:hAnsi="Calibri" w:cs="Calibri"/>
        </w:rPr>
      </w:pPr>
      <w:r>
        <w:rPr>
          <w:rFonts w:ascii="Calibri" w:hAnsi="Calibri" w:cs="Calibri"/>
        </w:rPr>
        <w:t>Support team training to ensure that accessibility of information is maintained across digital platforms.</w:t>
      </w:r>
    </w:p>
    <w:p w14:paraId="13344344" w14:textId="77777777" w:rsidR="00324C71" w:rsidRDefault="00324C71" w:rsidP="00324C71">
      <w:pPr>
        <w:pStyle w:val="ListParagraph"/>
        <w:numPr>
          <w:ilvl w:val="0"/>
          <w:numId w:val="15"/>
        </w:numPr>
        <w:ind w:left="567" w:hanging="567"/>
        <w:rPr>
          <w:rFonts w:ascii="Calibri" w:hAnsi="Calibri" w:cs="Calibri"/>
        </w:rPr>
      </w:pPr>
      <w:r>
        <w:rPr>
          <w:rFonts w:ascii="Calibri" w:hAnsi="Calibri" w:cs="Calibri"/>
        </w:rPr>
        <w:lastRenderedPageBreak/>
        <w:t>RDA Hume attendance at Ministerial Online Briefings and Town Halls, RDA National Forum, RAI Conferences and CEDA events and learnings.</w:t>
      </w:r>
    </w:p>
    <w:p w14:paraId="570545F8" w14:textId="77777777" w:rsidR="00324C71" w:rsidRPr="0040104A" w:rsidRDefault="00324C71" w:rsidP="00324C71">
      <w:pPr>
        <w:pStyle w:val="ListParagraph"/>
        <w:numPr>
          <w:ilvl w:val="0"/>
          <w:numId w:val="15"/>
        </w:numPr>
        <w:ind w:left="567" w:hanging="567"/>
        <w:rPr>
          <w:rFonts w:ascii="Calibri" w:hAnsi="Calibri" w:cs="Calibri"/>
        </w:rPr>
      </w:pPr>
      <w:r>
        <w:rPr>
          <w:rFonts w:ascii="Calibri" w:hAnsi="Calibri" w:cs="Calibri"/>
        </w:rPr>
        <w:t>Contribute to reports and submissions as the opportunities arise.</w:t>
      </w:r>
    </w:p>
    <w:p w14:paraId="667768DD" w14:textId="3B724686" w:rsidR="00324C71" w:rsidRPr="00974B5C" w:rsidRDefault="00324C71" w:rsidP="00466D13">
      <w:pPr>
        <w:pStyle w:val="Heading1"/>
      </w:pPr>
      <w:r w:rsidRPr="00974B5C">
        <w:t xml:space="preserve">Strategic Focus Areas </w:t>
      </w:r>
      <w:r>
        <w:t xml:space="preserve">&amp; Alignment </w:t>
      </w:r>
    </w:p>
    <w:p w14:paraId="0DFED016" w14:textId="45814E10" w:rsidR="00324C71" w:rsidRDefault="00324C71" w:rsidP="00324C71">
      <w:pPr>
        <w:pStyle w:val="Default"/>
        <w:ind w:left="-142"/>
        <w:rPr>
          <w:rFonts w:ascii="Calibri" w:hAnsi="Calibri" w:cs="Calibri"/>
          <w:sz w:val="22"/>
          <w:szCs w:val="22"/>
        </w:rPr>
      </w:pPr>
      <w:r w:rsidRPr="0039477C">
        <w:rPr>
          <w:rFonts w:ascii="Calibri" w:hAnsi="Calibri" w:cs="Calibri"/>
          <w:sz w:val="22"/>
          <w:szCs w:val="22"/>
        </w:rPr>
        <w:t>RDA Hume</w:t>
      </w:r>
      <w:r>
        <w:rPr>
          <w:rFonts w:ascii="Calibri" w:hAnsi="Calibri" w:cs="Calibri"/>
          <w:sz w:val="22"/>
          <w:szCs w:val="22"/>
        </w:rPr>
        <w:t xml:space="preserve">’s strategic focus areas align with the Goulburn and Ovens Murray REDS. These strategies reflect the long term aims and activities planned to strengthen local regional economies and prioritise sharing across all three levels of government </w:t>
      </w:r>
      <w:r w:rsidR="00FD704B">
        <w:rPr>
          <w:rFonts w:ascii="Calibri" w:hAnsi="Calibri" w:cs="Calibri"/>
          <w:sz w:val="22"/>
          <w:szCs w:val="22"/>
        </w:rPr>
        <w:t>evidence-based</w:t>
      </w:r>
      <w:r>
        <w:rPr>
          <w:rFonts w:ascii="Calibri" w:hAnsi="Calibri" w:cs="Calibri"/>
          <w:sz w:val="22"/>
          <w:szCs w:val="22"/>
        </w:rPr>
        <w:t xml:space="preserve"> data and analysis that identify key challenges and opportunities and to also provide a unified regional voice.</w:t>
      </w:r>
    </w:p>
    <w:p w14:paraId="0381A1C1" w14:textId="77777777" w:rsidR="00324C71" w:rsidRDefault="00324C71" w:rsidP="00324C71">
      <w:pPr>
        <w:pStyle w:val="Default"/>
        <w:ind w:left="-142"/>
        <w:rPr>
          <w:rFonts w:ascii="Calibri" w:hAnsi="Calibri" w:cs="Calibri"/>
          <w:sz w:val="22"/>
          <w:szCs w:val="22"/>
        </w:rPr>
      </w:pPr>
    </w:p>
    <w:p w14:paraId="1F2720B6" w14:textId="77777777" w:rsidR="00324C71" w:rsidRDefault="00324C71" w:rsidP="00324C71">
      <w:pPr>
        <w:pStyle w:val="Default"/>
        <w:ind w:left="-142"/>
        <w:rPr>
          <w:rFonts w:ascii="Calibri" w:hAnsi="Calibri" w:cs="Calibri"/>
          <w:sz w:val="22"/>
          <w:szCs w:val="22"/>
        </w:rPr>
      </w:pPr>
      <w:r>
        <w:rPr>
          <w:rFonts w:ascii="Calibri" w:hAnsi="Calibri" w:cs="Calibri"/>
          <w:sz w:val="22"/>
          <w:szCs w:val="22"/>
        </w:rPr>
        <w:t xml:space="preserve">By using the REDS guiding principles, RDA Hume aims to support its local communities in the following key strategic focus areas. </w:t>
      </w:r>
      <w:r w:rsidRPr="00273915">
        <w:rPr>
          <w:rFonts w:ascii="Calibri" w:hAnsi="Calibri" w:cs="Calibri"/>
          <w:sz w:val="22"/>
          <w:szCs w:val="22"/>
        </w:rPr>
        <w:t xml:space="preserve">These focus areas speak to the </w:t>
      </w:r>
      <w:r>
        <w:rPr>
          <w:rFonts w:ascii="Calibri" w:hAnsi="Calibri" w:cs="Calibri"/>
          <w:sz w:val="22"/>
          <w:szCs w:val="22"/>
        </w:rPr>
        <w:t xml:space="preserve">underlying </w:t>
      </w:r>
      <w:r w:rsidRPr="00273915">
        <w:rPr>
          <w:rFonts w:ascii="Calibri" w:hAnsi="Calibri" w:cs="Calibri"/>
          <w:sz w:val="22"/>
          <w:szCs w:val="22"/>
        </w:rPr>
        <w:t>challenges facing the region’s</w:t>
      </w:r>
      <w:r>
        <w:rPr>
          <w:rFonts w:ascii="Calibri" w:hAnsi="Calibri" w:cs="Calibri"/>
          <w:sz w:val="22"/>
          <w:szCs w:val="22"/>
        </w:rPr>
        <w:t xml:space="preserve"> </w:t>
      </w:r>
      <w:r w:rsidRPr="00273915">
        <w:rPr>
          <w:rFonts w:ascii="Calibri" w:hAnsi="Calibri" w:cs="Calibri"/>
          <w:sz w:val="22"/>
          <w:szCs w:val="22"/>
        </w:rPr>
        <w:t xml:space="preserve">prosperity but also the key opportunities </w:t>
      </w:r>
      <w:r>
        <w:rPr>
          <w:rFonts w:ascii="Calibri" w:hAnsi="Calibri" w:cs="Calibri"/>
          <w:sz w:val="22"/>
          <w:szCs w:val="22"/>
        </w:rPr>
        <w:t>to enable place-specific</w:t>
      </w:r>
      <w:r w:rsidRPr="00273915">
        <w:rPr>
          <w:rFonts w:ascii="Calibri" w:hAnsi="Calibri" w:cs="Calibri"/>
          <w:sz w:val="22"/>
          <w:szCs w:val="22"/>
        </w:rPr>
        <w:t xml:space="preserve"> growth and</w:t>
      </w:r>
      <w:r>
        <w:rPr>
          <w:rFonts w:ascii="Calibri" w:hAnsi="Calibri" w:cs="Calibri"/>
          <w:sz w:val="22"/>
          <w:szCs w:val="22"/>
        </w:rPr>
        <w:t xml:space="preserve"> </w:t>
      </w:r>
      <w:r w:rsidRPr="00273915">
        <w:rPr>
          <w:rFonts w:ascii="Calibri" w:hAnsi="Calibri" w:cs="Calibri"/>
          <w:sz w:val="22"/>
          <w:szCs w:val="22"/>
        </w:rPr>
        <w:t>development</w:t>
      </w:r>
      <w:r>
        <w:rPr>
          <w:rFonts w:ascii="Calibri" w:hAnsi="Calibri" w:cs="Calibri"/>
          <w:sz w:val="22"/>
          <w:szCs w:val="22"/>
        </w:rPr>
        <w:t>:</w:t>
      </w:r>
    </w:p>
    <w:p w14:paraId="3B1EB76A" w14:textId="77777777" w:rsidR="00324C71" w:rsidRDefault="00324C71" w:rsidP="00324C71">
      <w:pPr>
        <w:pStyle w:val="Default"/>
        <w:ind w:left="-142"/>
        <w:rPr>
          <w:rFonts w:ascii="Calibri" w:hAnsi="Calibri" w:cs="Calibri"/>
          <w:sz w:val="22"/>
          <w:szCs w:val="22"/>
        </w:rPr>
      </w:pPr>
    </w:p>
    <w:p w14:paraId="246F3A6C" w14:textId="77777777" w:rsidR="00324C71" w:rsidRDefault="00324C71" w:rsidP="00324C71">
      <w:pPr>
        <w:pStyle w:val="Default"/>
        <w:numPr>
          <w:ilvl w:val="0"/>
          <w:numId w:val="10"/>
        </w:numPr>
        <w:ind w:left="567" w:hanging="709"/>
        <w:rPr>
          <w:rFonts w:ascii="Calibri" w:hAnsi="Calibri" w:cs="Calibri"/>
          <w:sz w:val="22"/>
          <w:szCs w:val="22"/>
        </w:rPr>
      </w:pPr>
      <w:r>
        <w:rPr>
          <w:rFonts w:ascii="Calibri" w:hAnsi="Calibri" w:cs="Calibri"/>
          <w:sz w:val="22"/>
          <w:szCs w:val="22"/>
        </w:rPr>
        <w:t>Affordable housing for key workers</w:t>
      </w:r>
    </w:p>
    <w:p w14:paraId="5A20FDB3" w14:textId="359C7CE8" w:rsidR="00324C71" w:rsidRDefault="00107069" w:rsidP="00324C71">
      <w:pPr>
        <w:pStyle w:val="Default"/>
        <w:numPr>
          <w:ilvl w:val="0"/>
          <w:numId w:val="10"/>
        </w:numPr>
        <w:ind w:left="567" w:hanging="709"/>
        <w:rPr>
          <w:rFonts w:ascii="Calibri" w:hAnsi="Calibri" w:cs="Calibri"/>
          <w:sz w:val="22"/>
          <w:szCs w:val="22"/>
        </w:rPr>
      </w:pPr>
      <w:r>
        <w:rPr>
          <w:rFonts w:ascii="Calibri" w:hAnsi="Calibri" w:cs="Calibri"/>
          <w:sz w:val="22"/>
          <w:szCs w:val="22"/>
        </w:rPr>
        <w:t>Energy</w:t>
      </w:r>
      <w:r w:rsidR="00324C71">
        <w:rPr>
          <w:rFonts w:ascii="Calibri" w:hAnsi="Calibri" w:cs="Calibri"/>
          <w:sz w:val="22"/>
          <w:szCs w:val="22"/>
        </w:rPr>
        <w:t xml:space="preserve"> transition</w:t>
      </w:r>
    </w:p>
    <w:p w14:paraId="3EB1AC45" w14:textId="77777777" w:rsidR="00324C71" w:rsidRDefault="00324C71" w:rsidP="00324C71">
      <w:pPr>
        <w:pStyle w:val="Default"/>
        <w:numPr>
          <w:ilvl w:val="0"/>
          <w:numId w:val="10"/>
        </w:numPr>
        <w:ind w:left="567" w:hanging="709"/>
        <w:rPr>
          <w:rFonts w:ascii="Calibri" w:hAnsi="Calibri" w:cs="Calibri"/>
          <w:sz w:val="22"/>
          <w:szCs w:val="22"/>
        </w:rPr>
      </w:pPr>
      <w:r>
        <w:rPr>
          <w:rFonts w:ascii="Calibri" w:hAnsi="Calibri" w:cs="Calibri"/>
          <w:sz w:val="22"/>
          <w:szCs w:val="22"/>
        </w:rPr>
        <w:t>Skills gaps and workforce shortages</w:t>
      </w:r>
    </w:p>
    <w:p w14:paraId="412AB0A7" w14:textId="77777777" w:rsidR="00324C71" w:rsidRDefault="00324C71" w:rsidP="00324C71">
      <w:pPr>
        <w:pStyle w:val="Default"/>
        <w:ind w:left="-142"/>
        <w:rPr>
          <w:rFonts w:ascii="Calibri" w:hAnsi="Calibri" w:cs="Calibri"/>
          <w:sz w:val="22"/>
          <w:szCs w:val="22"/>
        </w:rPr>
      </w:pPr>
    </w:p>
    <w:p w14:paraId="1DC7CB7D" w14:textId="77777777" w:rsidR="00324C71" w:rsidRPr="002B74D8" w:rsidRDefault="00324C71" w:rsidP="00324C71">
      <w:pPr>
        <w:pStyle w:val="Default"/>
        <w:ind w:left="-142"/>
        <w:rPr>
          <w:rFonts w:ascii="Calibri" w:hAnsi="Calibri" w:cs="Calibri"/>
          <w:sz w:val="22"/>
          <w:szCs w:val="22"/>
        </w:rPr>
      </w:pPr>
      <w:r>
        <w:rPr>
          <w:rFonts w:ascii="Calibri" w:hAnsi="Calibri" w:cs="Calibri"/>
          <w:sz w:val="22"/>
          <w:szCs w:val="22"/>
        </w:rPr>
        <w:t xml:space="preserve">Key </w:t>
      </w:r>
      <w:r w:rsidRPr="002B74D8">
        <w:rPr>
          <w:rFonts w:ascii="Calibri" w:hAnsi="Calibri" w:cs="Calibri"/>
          <w:sz w:val="22"/>
          <w:szCs w:val="22"/>
        </w:rPr>
        <w:t xml:space="preserve">business activities </w:t>
      </w:r>
      <w:r>
        <w:rPr>
          <w:rFonts w:ascii="Calibri" w:hAnsi="Calibri" w:cs="Calibri"/>
          <w:sz w:val="22"/>
          <w:szCs w:val="22"/>
        </w:rPr>
        <w:t xml:space="preserve">to support the strategic areas </w:t>
      </w:r>
      <w:r w:rsidRPr="002B74D8">
        <w:rPr>
          <w:rFonts w:ascii="Calibri" w:hAnsi="Calibri" w:cs="Calibri"/>
          <w:sz w:val="22"/>
          <w:szCs w:val="22"/>
        </w:rPr>
        <w:t>include:</w:t>
      </w:r>
    </w:p>
    <w:p w14:paraId="14D64591" w14:textId="5B4B2BB4" w:rsidR="00324C71" w:rsidRDefault="00324C71" w:rsidP="00324C71">
      <w:pPr>
        <w:numPr>
          <w:ilvl w:val="0"/>
          <w:numId w:val="6"/>
        </w:numPr>
        <w:tabs>
          <w:tab w:val="left" w:pos="567"/>
        </w:tabs>
        <w:autoSpaceDE w:val="0"/>
        <w:autoSpaceDN w:val="0"/>
        <w:adjustRightInd w:val="0"/>
        <w:spacing w:after="30" w:line="240" w:lineRule="auto"/>
        <w:ind w:left="567" w:hanging="709"/>
        <w:rPr>
          <w:rFonts w:ascii="Calibri" w:hAnsi="Calibri" w:cs="Calibri"/>
          <w:color w:val="000000"/>
        </w:rPr>
      </w:pPr>
      <w:r>
        <w:rPr>
          <w:rFonts w:ascii="Calibri" w:hAnsi="Calibri" w:cs="Calibri"/>
          <w:color w:val="000000"/>
        </w:rPr>
        <w:t xml:space="preserve">continuing to participate in the Victorian RDA Chair’s network to achieve successful outcomes for their identified whole of state RDA </w:t>
      </w:r>
      <w:r w:rsidR="00F70FFF">
        <w:rPr>
          <w:rFonts w:ascii="Calibri" w:hAnsi="Calibri" w:cs="Calibri"/>
          <w:color w:val="000000"/>
        </w:rPr>
        <w:t>projects.</w:t>
      </w:r>
    </w:p>
    <w:p w14:paraId="7B378644" w14:textId="2574BE28" w:rsidR="00324C71" w:rsidRDefault="00324C71" w:rsidP="00324C71">
      <w:pPr>
        <w:numPr>
          <w:ilvl w:val="0"/>
          <w:numId w:val="6"/>
        </w:numPr>
        <w:tabs>
          <w:tab w:val="left" w:pos="567"/>
        </w:tabs>
        <w:autoSpaceDE w:val="0"/>
        <w:autoSpaceDN w:val="0"/>
        <w:adjustRightInd w:val="0"/>
        <w:spacing w:after="30" w:line="240" w:lineRule="auto"/>
        <w:ind w:left="567" w:hanging="709"/>
        <w:rPr>
          <w:rFonts w:ascii="Calibri" w:hAnsi="Calibri" w:cs="Calibri"/>
          <w:color w:val="000000"/>
        </w:rPr>
      </w:pPr>
      <w:r>
        <w:rPr>
          <w:rFonts w:ascii="Calibri" w:hAnsi="Calibri" w:cs="Calibri"/>
          <w:color w:val="000000"/>
        </w:rPr>
        <w:t xml:space="preserve">providing high level expert regional advice to all three levels of </w:t>
      </w:r>
      <w:r w:rsidR="00F70FFF">
        <w:rPr>
          <w:rFonts w:ascii="Calibri" w:hAnsi="Calibri" w:cs="Calibri"/>
          <w:color w:val="000000"/>
        </w:rPr>
        <w:t>government.</w:t>
      </w:r>
    </w:p>
    <w:p w14:paraId="1C26E08E" w14:textId="15914F9B" w:rsidR="00324C71" w:rsidRDefault="00324C71" w:rsidP="00324C71">
      <w:pPr>
        <w:numPr>
          <w:ilvl w:val="0"/>
          <w:numId w:val="6"/>
        </w:numPr>
        <w:tabs>
          <w:tab w:val="left" w:pos="567"/>
        </w:tabs>
        <w:autoSpaceDE w:val="0"/>
        <w:autoSpaceDN w:val="0"/>
        <w:adjustRightInd w:val="0"/>
        <w:spacing w:after="30" w:line="240" w:lineRule="auto"/>
        <w:ind w:left="567" w:hanging="709"/>
        <w:rPr>
          <w:rFonts w:ascii="Calibri" w:hAnsi="Calibri" w:cs="Calibri"/>
          <w:color w:val="000000"/>
        </w:rPr>
      </w:pPr>
      <w:r>
        <w:rPr>
          <w:rFonts w:ascii="Calibri" w:hAnsi="Calibri" w:cs="Calibri"/>
          <w:color w:val="000000"/>
        </w:rPr>
        <w:t xml:space="preserve">identifying </w:t>
      </w:r>
      <w:r w:rsidRPr="00146896">
        <w:rPr>
          <w:rFonts w:ascii="Calibri" w:hAnsi="Calibri" w:cs="Calibri"/>
          <w:color w:val="000000"/>
        </w:rPr>
        <w:t xml:space="preserve">government and industry investment opportunities </w:t>
      </w:r>
      <w:r>
        <w:rPr>
          <w:rFonts w:ascii="Calibri" w:hAnsi="Calibri" w:cs="Calibri"/>
          <w:color w:val="000000"/>
        </w:rPr>
        <w:t xml:space="preserve">that complement regional strengths and competitive </w:t>
      </w:r>
      <w:r w:rsidR="00F70FFF">
        <w:rPr>
          <w:rFonts w:ascii="Calibri" w:hAnsi="Calibri" w:cs="Calibri"/>
          <w:color w:val="000000"/>
        </w:rPr>
        <w:t>advantages.</w:t>
      </w:r>
      <w:r>
        <w:rPr>
          <w:rFonts w:ascii="Calibri" w:hAnsi="Calibri" w:cs="Calibri"/>
          <w:color w:val="000000"/>
        </w:rPr>
        <w:t xml:space="preserve"> </w:t>
      </w:r>
    </w:p>
    <w:p w14:paraId="7412D27E" w14:textId="77777777" w:rsidR="00324C71" w:rsidRDefault="00324C71" w:rsidP="00324C71">
      <w:pPr>
        <w:numPr>
          <w:ilvl w:val="0"/>
          <w:numId w:val="6"/>
        </w:numPr>
        <w:tabs>
          <w:tab w:val="left" w:pos="567"/>
        </w:tabs>
        <w:autoSpaceDE w:val="0"/>
        <w:autoSpaceDN w:val="0"/>
        <w:adjustRightInd w:val="0"/>
        <w:spacing w:after="0" w:line="240" w:lineRule="auto"/>
        <w:ind w:left="567" w:hanging="709"/>
        <w:rPr>
          <w:rFonts w:ascii="Calibri" w:hAnsi="Calibri" w:cs="Calibri"/>
          <w:color w:val="000000"/>
        </w:rPr>
      </w:pPr>
      <w:r>
        <w:rPr>
          <w:rFonts w:ascii="Calibri" w:hAnsi="Calibri" w:cs="Calibri"/>
          <w:color w:val="000000"/>
        </w:rPr>
        <w:t>improving Hume region responses</w:t>
      </w:r>
      <w:r w:rsidRPr="00146896">
        <w:rPr>
          <w:rFonts w:ascii="Calibri" w:hAnsi="Calibri" w:cs="Calibri"/>
          <w:color w:val="000000"/>
        </w:rPr>
        <w:t xml:space="preserve"> to </w:t>
      </w:r>
      <w:r>
        <w:rPr>
          <w:rFonts w:ascii="Calibri" w:hAnsi="Calibri" w:cs="Calibri"/>
          <w:color w:val="000000"/>
        </w:rPr>
        <w:t>s</w:t>
      </w:r>
      <w:r w:rsidRPr="00146896">
        <w:rPr>
          <w:rFonts w:ascii="Calibri" w:hAnsi="Calibri" w:cs="Calibri"/>
          <w:color w:val="000000"/>
        </w:rPr>
        <w:t xml:space="preserve">pecific priorities </w:t>
      </w:r>
      <w:r>
        <w:rPr>
          <w:rFonts w:ascii="Calibri" w:hAnsi="Calibri" w:cs="Calibri"/>
          <w:color w:val="000000"/>
        </w:rPr>
        <w:t>by continuing to make</w:t>
      </w:r>
      <w:r w:rsidRPr="00146896">
        <w:rPr>
          <w:rFonts w:ascii="Calibri" w:hAnsi="Calibri" w:cs="Calibri"/>
          <w:color w:val="000000"/>
        </w:rPr>
        <w:t xml:space="preserve"> connection</w:t>
      </w:r>
      <w:r>
        <w:rPr>
          <w:rFonts w:ascii="Calibri" w:hAnsi="Calibri" w:cs="Calibri"/>
          <w:color w:val="000000"/>
        </w:rPr>
        <w:t>s</w:t>
      </w:r>
      <w:r w:rsidRPr="00146896">
        <w:rPr>
          <w:rFonts w:ascii="Calibri" w:hAnsi="Calibri" w:cs="Calibri"/>
          <w:color w:val="000000"/>
        </w:rPr>
        <w:t xml:space="preserve"> </w:t>
      </w:r>
      <w:r>
        <w:rPr>
          <w:rFonts w:ascii="Calibri" w:hAnsi="Calibri" w:cs="Calibri"/>
          <w:color w:val="000000"/>
        </w:rPr>
        <w:t>between</w:t>
      </w:r>
      <w:r w:rsidRPr="00146896">
        <w:rPr>
          <w:rFonts w:ascii="Calibri" w:hAnsi="Calibri" w:cs="Calibri"/>
          <w:color w:val="000000"/>
        </w:rPr>
        <w:t xml:space="preserve"> </w:t>
      </w:r>
      <w:r>
        <w:rPr>
          <w:rFonts w:ascii="Calibri" w:hAnsi="Calibri" w:cs="Calibri"/>
          <w:color w:val="000000"/>
        </w:rPr>
        <w:t>Australian</w:t>
      </w:r>
      <w:r w:rsidRPr="00146896">
        <w:rPr>
          <w:rFonts w:ascii="Calibri" w:hAnsi="Calibri" w:cs="Calibri"/>
          <w:color w:val="000000"/>
        </w:rPr>
        <w:t xml:space="preserve"> and Victorian </w:t>
      </w:r>
      <w:r>
        <w:rPr>
          <w:rFonts w:ascii="Calibri" w:hAnsi="Calibri" w:cs="Calibri"/>
          <w:color w:val="000000"/>
        </w:rPr>
        <w:t xml:space="preserve">Government </w:t>
      </w:r>
      <w:r w:rsidRPr="00146896">
        <w:rPr>
          <w:rFonts w:ascii="Calibri" w:hAnsi="Calibri" w:cs="Calibri"/>
          <w:color w:val="000000"/>
        </w:rPr>
        <w:t xml:space="preserve">programs and strategies. </w:t>
      </w:r>
    </w:p>
    <w:p w14:paraId="57A1B096" w14:textId="77777777" w:rsidR="00324C71" w:rsidRDefault="00324C71" w:rsidP="000D509F">
      <w:pPr>
        <w:tabs>
          <w:tab w:val="left" w:pos="567"/>
        </w:tabs>
        <w:autoSpaceDE w:val="0"/>
        <w:autoSpaceDN w:val="0"/>
        <w:adjustRightInd w:val="0"/>
        <w:spacing w:after="0" w:line="240" w:lineRule="auto"/>
        <w:rPr>
          <w:rFonts w:ascii="Calibri" w:hAnsi="Calibri" w:cs="Calibri"/>
          <w:color w:val="000000"/>
        </w:rPr>
      </w:pPr>
    </w:p>
    <w:p w14:paraId="3407FB8F" w14:textId="059E6B65" w:rsidR="00555FAC" w:rsidRPr="00A07635" w:rsidRDefault="00555FAC" w:rsidP="00466D13">
      <w:pPr>
        <w:pStyle w:val="Heading1"/>
      </w:pPr>
      <w:r w:rsidRPr="00A07635">
        <w:t xml:space="preserve">RDA Hume Work Plan </w:t>
      </w:r>
      <w:r w:rsidR="00AD6353">
        <w:t>2024-25</w:t>
      </w:r>
    </w:p>
    <w:p w14:paraId="314A7DAF" w14:textId="298AC641" w:rsidR="00555FAC" w:rsidRDefault="00555FAC" w:rsidP="00DA7436">
      <w:pPr>
        <w:spacing w:before="120"/>
        <w:ind w:left="-284" w:right="-613"/>
      </w:pPr>
      <w:r w:rsidRPr="007812BB">
        <w:t xml:space="preserve">RDA Hume has identified the following key actions to be progressed over </w:t>
      </w:r>
      <w:r w:rsidR="00F435A6">
        <w:t>2024-25</w:t>
      </w:r>
      <w:r w:rsidRPr="007812BB">
        <w:t xml:space="preserve">. </w:t>
      </w:r>
    </w:p>
    <w:tbl>
      <w:tblPr>
        <w:tblStyle w:val="TableGrid"/>
        <w:tblW w:w="9918" w:type="dxa"/>
        <w:tblInd w:w="-572" w:type="dxa"/>
        <w:tblLook w:val="04A0" w:firstRow="1" w:lastRow="0" w:firstColumn="1" w:lastColumn="0" w:noHBand="0" w:noVBand="1"/>
      </w:tblPr>
      <w:tblGrid>
        <w:gridCol w:w="3005"/>
        <w:gridCol w:w="3086"/>
        <w:gridCol w:w="3827"/>
      </w:tblGrid>
      <w:tr w:rsidR="001524A2" w:rsidRPr="00466D13" w14:paraId="3AB1E3A9" w14:textId="77777777" w:rsidTr="00DA7436">
        <w:tc>
          <w:tcPr>
            <w:tcW w:w="3005" w:type="dxa"/>
          </w:tcPr>
          <w:p w14:paraId="26FC8C7A" w14:textId="355164FF" w:rsidR="001524A2" w:rsidRPr="00466D13" w:rsidRDefault="001524A2" w:rsidP="00555FAC">
            <w:pPr>
              <w:spacing w:before="120"/>
              <w:rPr>
                <w:b/>
                <w:bCs/>
              </w:rPr>
            </w:pPr>
            <w:r w:rsidRPr="00466D13">
              <w:rPr>
                <w:b/>
                <w:bCs/>
              </w:rPr>
              <w:t>Strategic Focus Area</w:t>
            </w:r>
          </w:p>
        </w:tc>
        <w:tc>
          <w:tcPr>
            <w:tcW w:w="3086" w:type="dxa"/>
          </w:tcPr>
          <w:p w14:paraId="41A5DEEA" w14:textId="4C869623" w:rsidR="001524A2" w:rsidRPr="00466D13" w:rsidRDefault="001524A2" w:rsidP="00555FAC">
            <w:pPr>
              <w:spacing w:before="120"/>
              <w:rPr>
                <w:b/>
                <w:bCs/>
              </w:rPr>
            </w:pPr>
            <w:r w:rsidRPr="00466D13">
              <w:rPr>
                <w:b/>
                <w:bCs/>
              </w:rPr>
              <w:t>Key Actions</w:t>
            </w:r>
          </w:p>
        </w:tc>
        <w:tc>
          <w:tcPr>
            <w:tcW w:w="3827" w:type="dxa"/>
          </w:tcPr>
          <w:p w14:paraId="13659280" w14:textId="420359BC" w:rsidR="001524A2" w:rsidRPr="00466D13" w:rsidRDefault="001524A2" w:rsidP="00555FAC">
            <w:pPr>
              <w:spacing w:before="120"/>
              <w:rPr>
                <w:b/>
                <w:bCs/>
              </w:rPr>
            </w:pPr>
            <w:r w:rsidRPr="00466D13">
              <w:rPr>
                <w:b/>
                <w:bCs/>
              </w:rPr>
              <w:t>Measures</w:t>
            </w:r>
          </w:p>
        </w:tc>
      </w:tr>
      <w:tr w:rsidR="001524A2" w14:paraId="2E0A29D8" w14:textId="77777777" w:rsidTr="00DA7436">
        <w:tc>
          <w:tcPr>
            <w:tcW w:w="3005" w:type="dxa"/>
          </w:tcPr>
          <w:p w14:paraId="21970879" w14:textId="77777777" w:rsidR="001524A2" w:rsidRDefault="00F86E36" w:rsidP="00555FAC">
            <w:pPr>
              <w:spacing w:before="120"/>
            </w:pPr>
            <w:r>
              <w:t>Housing</w:t>
            </w:r>
          </w:p>
          <w:p w14:paraId="2990BC3C" w14:textId="77777777" w:rsidR="00F86E36" w:rsidRDefault="00F86E36" w:rsidP="00555FAC">
            <w:pPr>
              <w:spacing w:before="120"/>
            </w:pPr>
            <w:r>
              <w:t>Find practical and timely solutions limiting the region’s growth and liveability</w:t>
            </w:r>
          </w:p>
          <w:p w14:paraId="557795D9" w14:textId="71497169" w:rsidR="00F86E36" w:rsidRDefault="00F86E36" w:rsidP="00555FAC">
            <w:pPr>
              <w:spacing w:before="120"/>
            </w:pPr>
          </w:p>
        </w:tc>
        <w:tc>
          <w:tcPr>
            <w:tcW w:w="3086" w:type="dxa"/>
          </w:tcPr>
          <w:p w14:paraId="08402D1A" w14:textId="385D45CB" w:rsidR="001524A2" w:rsidRDefault="00F70FFF" w:rsidP="00F86E36">
            <w:pPr>
              <w:pStyle w:val="ListParagraph"/>
              <w:numPr>
                <w:ilvl w:val="0"/>
                <w:numId w:val="23"/>
              </w:numPr>
              <w:tabs>
                <w:tab w:val="left" w:pos="283"/>
              </w:tabs>
              <w:spacing w:before="120"/>
              <w:ind w:left="283" w:hanging="283"/>
            </w:pPr>
            <w:r>
              <w:t>Share the</w:t>
            </w:r>
            <w:r w:rsidR="00F86E36">
              <w:t xml:space="preserve"> Hume Housing Prospectus</w:t>
            </w:r>
            <w:r w:rsidR="001332E4">
              <w:t xml:space="preserve"> with LGAs and stakeholders</w:t>
            </w:r>
          </w:p>
          <w:p w14:paraId="67BC7C4C" w14:textId="1448D9B6" w:rsidR="00844C15" w:rsidRDefault="00844C15" w:rsidP="00F86E36">
            <w:pPr>
              <w:pStyle w:val="ListParagraph"/>
              <w:numPr>
                <w:ilvl w:val="0"/>
                <w:numId w:val="23"/>
              </w:numPr>
              <w:tabs>
                <w:tab w:val="left" w:pos="283"/>
              </w:tabs>
              <w:spacing w:before="120"/>
              <w:ind w:left="283" w:hanging="283"/>
            </w:pPr>
            <w:r>
              <w:t xml:space="preserve">Advocacy for the </w:t>
            </w:r>
            <w:r w:rsidR="002E64F9">
              <w:t xml:space="preserve">Hume region </w:t>
            </w:r>
            <w:r w:rsidR="00EB028E">
              <w:t xml:space="preserve">Regional Accommodation Worker’s Fund </w:t>
            </w:r>
            <w:r w:rsidR="00544AA4">
              <w:t xml:space="preserve">(RWAF) </w:t>
            </w:r>
            <w:r>
              <w:t>project</w:t>
            </w:r>
            <w:r w:rsidR="00EB028E">
              <w:t>s</w:t>
            </w:r>
            <w:r>
              <w:t>.</w:t>
            </w:r>
          </w:p>
        </w:tc>
        <w:tc>
          <w:tcPr>
            <w:tcW w:w="3827" w:type="dxa"/>
          </w:tcPr>
          <w:p w14:paraId="43BA043D" w14:textId="49D4CBAC" w:rsidR="001524A2" w:rsidRDefault="00AA5783" w:rsidP="00555FAC">
            <w:pPr>
              <w:spacing w:before="120"/>
            </w:pPr>
            <w:r>
              <w:t xml:space="preserve"> P</w:t>
            </w:r>
            <w:r w:rsidR="00EA375B">
              <w:t>resentation of the</w:t>
            </w:r>
            <w:r w:rsidR="00820243">
              <w:t xml:space="preserve"> Hume Housing Prospectus</w:t>
            </w:r>
            <w:r w:rsidR="001332E4">
              <w:t xml:space="preserve"> to stakeholders</w:t>
            </w:r>
            <w:r w:rsidR="00820243">
              <w:t xml:space="preserve"> that identifies viable </w:t>
            </w:r>
            <w:r w:rsidR="00106D7D">
              <w:t>options to contribute to the solution of the housing shortage</w:t>
            </w:r>
          </w:p>
          <w:p w14:paraId="234DA441" w14:textId="039653F0" w:rsidR="00106D7D" w:rsidRDefault="00AA5783" w:rsidP="005600B8">
            <w:pPr>
              <w:spacing w:before="120"/>
            </w:pPr>
            <w:r>
              <w:t>Continue w</w:t>
            </w:r>
            <w:r w:rsidR="00106D7D">
              <w:t xml:space="preserve">ork with TNE for the establishment of </w:t>
            </w:r>
            <w:r w:rsidR="00BD7325">
              <w:t>NEWMAH project.</w:t>
            </w:r>
          </w:p>
          <w:p w14:paraId="0B73FF9F" w14:textId="2F76737F" w:rsidR="00AA5783" w:rsidRDefault="00AA5783" w:rsidP="005600B8">
            <w:pPr>
              <w:spacing w:before="120"/>
            </w:pPr>
            <w:r>
              <w:t xml:space="preserve">Provide </w:t>
            </w:r>
            <w:r w:rsidR="00C55379">
              <w:t xml:space="preserve">ongoing </w:t>
            </w:r>
            <w:r>
              <w:t>support for Hume</w:t>
            </w:r>
            <w:r w:rsidR="00F94364">
              <w:t xml:space="preserve"> region</w:t>
            </w:r>
            <w:r>
              <w:t xml:space="preserve"> applicants</w:t>
            </w:r>
            <w:r w:rsidR="00544AA4">
              <w:t xml:space="preserve"> for RWAF.</w:t>
            </w:r>
          </w:p>
          <w:p w14:paraId="44F960FA" w14:textId="3EB43B24" w:rsidR="00BD7325" w:rsidRDefault="00BD7325" w:rsidP="005600B8"/>
        </w:tc>
      </w:tr>
      <w:tr w:rsidR="001524A2" w14:paraId="36AD7918" w14:textId="77777777" w:rsidTr="00DA7436">
        <w:tc>
          <w:tcPr>
            <w:tcW w:w="3005" w:type="dxa"/>
          </w:tcPr>
          <w:p w14:paraId="060008AE" w14:textId="77777777" w:rsidR="001524A2" w:rsidRDefault="00BD7325" w:rsidP="00555FAC">
            <w:pPr>
              <w:spacing w:before="120"/>
            </w:pPr>
            <w:r>
              <w:t>Energy Transition</w:t>
            </w:r>
          </w:p>
          <w:p w14:paraId="4AE7B8F3" w14:textId="0BB2942A" w:rsidR="00BD7325" w:rsidRDefault="00BD7325" w:rsidP="00555FAC">
            <w:pPr>
              <w:spacing w:before="120"/>
            </w:pPr>
            <w:r>
              <w:lastRenderedPageBreak/>
              <w:t xml:space="preserve">Support the region </w:t>
            </w:r>
            <w:r w:rsidR="00107069">
              <w:t>in de</w:t>
            </w:r>
            <w:r w:rsidR="00107069">
              <w:noBreakHyphen/>
              <w:t>risking the energy transition</w:t>
            </w:r>
            <w:r w:rsidR="00CF6DFD">
              <w:t>.</w:t>
            </w:r>
            <w:r w:rsidR="00107069">
              <w:t xml:space="preserve"> </w:t>
            </w:r>
            <w:r w:rsidR="00CF6DFD">
              <w:t>C</w:t>
            </w:r>
            <w:r w:rsidR="00AD4418">
              <w:t>ontinue development of the region’s circular economy</w:t>
            </w:r>
          </w:p>
          <w:p w14:paraId="56F400D5" w14:textId="52A2CEE3" w:rsidR="00AD4418" w:rsidRDefault="00AD4418" w:rsidP="00555FAC">
            <w:pPr>
              <w:spacing w:before="120"/>
            </w:pPr>
          </w:p>
        </w:tc>
        <w:tc>
          <w:tcPr>
            <w:tcW w:w="3086" w:type="dxa"/>
          </w:tcPr>
          <w:p w14:paraId="62561DB1" w14:textId="4028799F" w:rsidR="00AD4418" w:rsidRDefault="00077162" w:rsidP="00AD4418">
            <w:pPr>
              <w:pStyle w:val="ListParagraph"/>
              <w:numPr>
                <w:ilvl w:val="0"/>
                <w:numId w:val="24"/>
              </w:numPr>
              <w:tabs>
                <w:tab w:val="left" w:pos="283"/>
              </w:tabs>
              <w:spacing w:before="120"/>
              <w:ind w:left="283" w:hanging="283"/>
            </w:pPr>
            <w:r>
              <w:lastRenderedPageBreak/>
              <w:t xml:space="preserve">Engage with industry to determine issues, challenges </w:t>
            </w:r>
            <w:r>
              <w:lastRenderedPageBreak/>
              <w:t>and opportunities for energy transition</w:t>
            </w:r>
          </w:p>
          <w:p w14:paraId="70692950" w14:textId="753EF2F8" w:rsidR="00077162" w:rsidRDefault="00077162" w:rsidP="00AD4418">
            <w:pPr>
              <w:pStyle w:val="ListParagraph"/>
              <w:numPr>
                <w:ilvl w:val="0"/>
                <w:numId w:val="24"/>
              </w:numPr>
              <w:tabs>
                <w:tab w:val="left" w:pos="283"/>
              </w:tabs>
              <w:spacing w:before="120"/>
              <w:ind w:left="283" w:hanging="283"/>
            </w:pPr>
            <w:r>
              <w:t xml:space="preserve">Analyse existing strategic work to determine </w:t>
            </w:r>
            <w:r w:rsidR="005F0477">
              <w:t>the role for RDA Hume</w:t>
            </w:r>
          </w:p>
          <w:p w14:paraId="69D0E283" w14:textId="02728404" w:rsidR="001524A2" w:rsidRDefault="001524A2" w:rsidP="005600B8"/>
        </w:tc>
        <w:tc>
          <w:tcPr>
            <w:tcW w:w="3827" w:type="dxa"/>
          </w:tcPr>
          <w:p w14:paraId="2A759F87" w14:textId="5CEABA44" w:rsidR="00FC7349" w:rsidRDefault="00B96131" w:rsidP="00555FAC">
            <w:pPr>
              <w:spacing w:before="120"/>
            </w:pPr>
            <w:r>
              <w:lastRenderedPageBreak/>
              <w:t>Attend</w:t>
            </w:r>
            <w:r w:rsidR="000E2895">
              <w:t xml:space="preserve"> forum</w:t>
            </w:r>
            <w:r>
              <w:t>s</w:t>
            </w:r>
            <w:r w:rsidR="000E2895">
              <w:t xml:space="preserve"> for key regional stakeholders to present on</w:t>
            </w:r>
            <w:r w:rsidR="000A3900">
              <w:t xml:space="preserve"> energy </w:t>
            </w:r>
            <w:r w:rsidR="000A3900">
              <w:lastRenderedPageBreak/>
              <w:t>transition and</w:t>
            </w:r>
            <w:r w:rsidR="000E2895">
              <w:t xml:space="preserve"> renewable energy challenges</w:t>
            </w:r>
            <w:r w:rsidR="00CF6DFD">
              <w:t>. Continue stakeholder engagement on</w:t>
            </w:r>
            <w:r w:rsidR="000E2895">
              <w:t xml:space="preserve"> the transition to a circular </w:t>
            </w:r>
            <w:r w:rsidR="00F70FFF">
              <w:t>economy. Work</w:t>
            </w:r>
            <w:r w:rsidR="000E2895">
              <w:t xml:space="preserve"> with key National and State agencies to </w:t>
            </w:r>
            <w:r w:rsidR="00844E1F">
              <w:t>align regional projects with investment opportunities.</w:t>
            </w:r>
          </w:p>
          <w:p w14:paraId="0D8EB474" w14:textId="6A0705C7" w:rsidR="00FC7349" w:rsidRDefault="00FC7349" w:rsidP="00555FAC">
            <w:pPr>
              <w:spacing w:before="120"/>
            </w:pPr>
          </w:p>
        </w:tc>
      </w:tr>
      <w:tr w:rsidR="001524A2" w14:paraId="343D471C" w14:textId="77777777" w:rsidTr="00DA7436">
        <w:tc>
          <w:tcPr>
            <w:tcW w:w="3005" w:type="dxa"/>
          </w:tcPr>
          <w:p w14:paraId="30C4D541" w14:textId="47C04536" w:rsidR="00E93742" w:rsidRDefault="00E93742" w:rsidP="00555FAC">
            <w:pPr>
              <w:spacing w:before="120"/>
            </w:pPr>
            <w:r>
              <w:lastRenderedPageBreak/>
              <w:t>Workforce</w:t>
            </w:r>
          </w:p>
          <w:p w14:paraId="0E174FE4" w14:textId="16B82089" w:rsidR="001524A2" w:rsidRDefault="00560D1A" w:rsidP="00555FAC">
            <w:pPr>
              <w:spacing w:before="120"/>
            </w:pPr>
            <w:r>
              <w:t>Support the development of the regional economy by addressing key enablers for growth</w:t>
            </w:r>
          </w:p>
          <w:p w14:paraId="380B54FA" w14:textId="55EA06E5" w:rsidR="00560D1A" w:rsidRDefault="00560D1A" w:rsidP="00555FAC">
            <w:pPr>
              <w:spacing w:before="120"/>
            </w:pPr>
          </w:p>
        </w:tc>
        <w:tc>
          <w:tcPr>
            <w:tcW w:w="3086" w:type="dxa"/>
          </w:tcPr>
          <w:p w14:paraId="428F9336" w14:textId="29F30D92" w:rsidR="00560D1A" w:rsidRDefault="004A3B51" w:rsidP="004A3B51">
            <w:pPr>
              <w:pStyle w:val="ListParagraph"/>
              <w:numPr>
                <w:ilvl w:val="0"/>
                <w:numId w:val="25"/>
              </w:numPr>
              <w:tabs>
                <w:tab w:val="left" w:pos="283"/>
              </w:tabs>
              <w:spacing w:before="120"/>
              <w:ind w:left="283" w:hanging="283"/>
            </w:pPr>
            <w:r>
              <w:t xml:space="preserve">Continuing </w:t>
            </w:r>
            <w:r w:rsidR="00BB1B72">
              <w:t>investment in building local government’ economic development workforce</w:t>
            </w:r>
          </w:p>
          <w:p w14:paraId="190F5ED4" w14:textId="09C9EE7D" w:rsidR="00560D1A" w:rsidRDefault="00BB1B72" w:rsidP="004A3B51">
            <w:pPr>
              <w:pStyle w:val="ListParagraph"/>
              <w:numPr>
                <w:ilvl w:val="0"/>
                <w:numId w:val="25"/>
              </w:numPr>
              <w:tabs>
                <w:tab w:val="left" w:pos="283"/>
              </w:tabs>
              <w:spacing w:before="120"/>
              <w:ind w:left="283" w:hanging="283"/>
            </w:pPr>
            <w:r>
              <w:t xml:space="preserve">Identify </w:t>
            </w:r>
            <w:r w:rsidR="005600B8">
              <w:t>key investment priorities for strategic infrastructure to improve connectivity, liveability and resilience.</w:t>
            </w:r>
          </w:p>
          <w:p w14:paraId="25C7CAB2" w14:textId="7E456F10" w:rsidR="001524A2" w:rsidRDefault="009A6BBF" w:rsidP="00F70FFF">
            <w:pPr>
              <w:pStyle w:val="ListParagraph"/>
              <w:tabs>
                <w:tab w:val="left" w:pos="283"/>
              </w:tabs>
              <w:spacing w:before="120"/>
              <w:ind w:left="283"/>
            </w:pPr>
            <w:r>
              <w:t xml:space="preserve">3. </w:t>
            </w:r>
            <w:r w:rsidR="00643168">
              <w:t xml:space="preserve">Support sustainable solutions for workforce, skills and </w:t>
            </w:r>
            <w:r w:rsidR="00B2743B">
              <w:t>population growth</w:t>
            </w:r>
          </w:p>
        </w:tc>
        <w:tc>
          <w:tcPr>
            <w:tcW w:w="3827" w:type="dxa"/>
          </w:tcPr>
          <w:p w14:paraId="2EFFDB2C" w14:textId="37A74288" w:rsidR="009A6BBF" w:rsidRDefault="00E6679C" w:rsidP="00555FAC">
            <w:pPr>
              <w:spacing w:before="120"/>
            </w:pPr>
            <w:r>
              <w:t>Develop</w:t>
            </w:r>
            <w:r w:rsidR="00261BAB">
              <w:t>ment of</w:t>
            </w:r>
            <w:r w:rsidR="00A43158">
              <w:t xml:space="preserve"> </w:t>
            </w:r>
            <w:r w:rsidR="009A6BBF" w:rsidRPr="009A6BBF">
              <w:t>Hume Regional Workforce Development Plan 202</w:t>
            </w:r>
            <w:r w:rsidR="00857AA9">
              <w:t>5</w:t>
            </w:r>
            <w:r w:rsidR="009A6BBF" w:rsidRPr="009A6BBF">
              <w:t>-202</w:t>
            </w:r>
            <w:r w:rsidR="00857AA9">
              <w:t>8</w:t>
            </w:r>
          </w:p>
          <w:p w14:paraId="33BDF2B0" w14:textId="4CF35B3C" w:rsidR="001524A2" w:rsidRDefault="005600B8" w:rsidP="00555FAC">
            <w:pPr>
              <w:spacing w:before="120"/>
            </w:pPr>
            <w:r>
              <w:t xml:space="preserve">Ongoing delivery of the Hume </w:t>
            </w:r>
            <w:r w:rsidR="00844E1F">
              <w:t>Economic</w:t>
            </w:r>
            <w:r>
              <w:t xml:space="preserve"> Development Network</w:t>
            </w:r>
          </w:p>
          <w:p w14:paraId="12765EA4" w14:textId="77777777" w:rsidR="005600B8" w:rsidRDefault="000D2241" w:rsidP="00555FAC">
            <w:pPr>
              <w:spacing w:before="120"/>
            </w:pPr>
            <w:r>
              <w:t>Maintain RDA Hume’s Priority Projects database</w:t>
            </w:r>
          </w:p>
          <w:p w14:paraId="5F3B7E84" w14:textId="77777777" w:rsidR="000D2241" w:rsidRDefault="000D2241" w:rsidP="00555FAC">
            <w:pPr>
              <w:spacing w:before="120"/>
            </w:pPr>
            <w:r>
              <w:t xml:space="preserve">Undertake regular engagement </w:t>
            </w:r>
            <w:r w:rsidR="00DE0286">
              <w:t>across all levels of government on priority projects</w:t>
            </w:r>
          </w:p>
          <w:p w14:paraId="51610509" w14:textId="77777777" w:rsidR="00817EE7" w:rsidRDefault="00817EE7" w:rsidP="00555FAC">
            <w:pPr>
              <w:spacing w:before="120"/>
            </w:pPr>
            <w:r>
              <w:t xml:space="preserve">Work with other agencies to identify and address barriers to </w:t>
            </w:r>
            <w:r w:rsidR="0056176A">
              <w:t>cultural safety, employment opportunities, skills and training pathways and childcare provision.</w:t>
            </w:r>
          </w:p>
          <w:p w14:paraId="7CB7DA43" w14:textId="1B82A2CF" w:rsidR="00C72E29" w:rsidRDefault="00C72E29" w:rsidP="00555FAC">
            <w:pPr>
              <w:spacing w:before="120"/>
            </w:pPr>
          </w:p>
        </w:tc>
      </w:tr>
    </w:tbl>
    <w:p w14:paraId="4C3C3B24" w14:textId="77777777" w:rsidR="00F32B25" w:rsidRDefault="00F32B25" w:rsidP="00F32B25">
      <w:pPr>
        <w:pStyle w:val="Default"/>
        <w:ind w:left="-142"/>
        <w:rPr>
          <w:rFonts w:ascii="Calibri" w:hAnsi="Calibri" w:cs="Calibri"/>
          <w:sz w:val="22"/>
          <w:szCs w:val="22"/>
        </w:rPr>
      </w:pPr>
    </w:p>
    <w:p w14:paraId="5F1E8211" w14:textId="77777777" w:rsidR="00E12C84" w:rsidRPr="00E12C84" w:rsidRDefault="00E12C84" w:rsidP="00E12C84">
      <w:pPr>
        <w:tabs>
          <w:tab w:val="left" w:pos="567"/>
        </w:tabs>
        <w:rPr>
          <w:rFonts w:ascii="Calibri" w:hAnsi="Calibri" w:cs="Calibri"/>
          <w:i/>
          <w:iCs/>
        </w:rPr>
      </w:pPr>
    </w:p>
    <w:p w14:paraId="55AC4701" w14:textId="77777777" w:rsidR="000D7862" w:rsidRDefault="000D7862" w:rsidP="0067784D">
      <w:pPr>
        <w:rPr>
          <w:rFonts w:ascii="Arial" w:hAnsi="Arial" w:cs="Arial"/>
          <w:b/>
          <w:bCs/>
          <w:u w:val="single"/>
        </w:rPr>
      </w:pPr>
    </w:p>
    <w:p w14:paraId="56383E61" w14:textId="00E11341" w:rsidR="000D7862" w:rsidRDefault="000D7862" w:rsidP="0067784D">
      <w:pPr>
        <w:rPr>
          <w:rFonts w:ascii="Arial" w:hAnsi="Arial" w:cs="Arial"/>
          <w:b/>
          <w:bCs/>
          <w:u w:val="single"/>
        </w:rPr>
        <w:sectPr w:rsidR="000D7862" w:rsidSect="001A38D1">
          <w:headerReference w:type="default" r:id="rId12"/>
          <w:footerReference w:type="default" r:id="rId13"/>
          <w:pgSz w:w="11906" w:h="16838"/>
          <w:pgMar w:top="1134" w:right="1440" w:bottom="1134" w:left="1440" w:header="709" w:footer="709" w:gutter="0"/>
          <w:cols w:space="708"/>
          <w:docGrid w:linePitch="360"/>
        </w:sectPr>
      </w:pPr>
    </w:p>
    <w:p w14:paraId="25252400" w14:textId="7C5CB35F" w:rsidR="00206D9D" w:rsidRPr="00AA3336" w:rsidRDefault="00206D9D" w:rsidP="00466D13">
      <w:pPr>
        <w:pStyle w:val="Heading1"/>
      </w:pPr>
      <w:bookmarkStart w:id="8" w:name="_Toc116477018"/>
      <w:bookmarkStart w:id="9" w:name="_Toc432152289"/>
      <w:r w:rsidRPr="00AA3336">
        <w:lastRenderedPageBreak/>
        <w:t xml:space="preserve">Outcomes and </w:t>
      </w:r>
      <w:r w:rsidRPr="00466D13">
        <w:t>Performance</w:t>
      </w:r>
      <w:r w:rsidRPr="00AA3336">
        <w:t xml:space="preserve"> </w:t>
      </w:r>
      <w:bookmarkEnd w:id="8"/>
      <w:r w:rsidRPr="00AA3336">
        <w:t>Indicators</w:t>
      </w:r>
    </w:p>
    <w:p w14:paraId="487AA666" w14:textId="604988DE" w:rsidR="00206D9D" w:rsidRPr="00AA3336" w:rsidRDefault="00206D9D" w:rsidP="00190056">
      <w:pPr>
        <w:pStyle w:val="Heading2"/>
      </w:pPr>
      <w:bookmarkStart w:id="10" w:name="_Toc116477019"/>
      <w:bookmarkEnd w:id="9"/>
      <w:r w:rsidRPr="00466D13">
        <w:t>Summary</w:t>
      </w:r>
      <w:r w:rsidRPr="00AA3336">
        <w:t xml:space="preserve"> of Outcomes</w:t>
      </w:r>
      <w:bookmarkEnd w:id="10"/>
    </w:p>
    <w:p w14:paraId="244E70BF" w14:textId="77777777" w:rsidR="00206D9D" w:rsidRDefault="00206D9D" w:rsidP="00206D9D">
      <w:pPr>
        <w:spacing w:after="0"/>
        <w:rPr>
          <w:rFonts w:ascii="Calibri" w:hAnsi="Calibri" w:cs="Calibri"/>
        </w:rPr>
      </w:pPr>
    </w:p>
    <w:p w14:paraId="7048131F" w14:textId="2194A517" w:rsidR="00206D9D" w:rsidRDefault="00206D9D" w:rsidP="00466D13">
      <w:r>
        <w:t>Summary of key</w:t>
      </w:r>
      <w:r w:rsidRPr="00EB5A74">
        <w:t xml:space="preserve"> strategic priorities for upcoming year:</w:t>
      </w:r>
    </w:p>
    <w:p w14:paraId="18126DE5" w14:textId="448BCAC9" w:rsidR="00206D9D" w:rsidRPr="006777BC" w:rsidRDefault="00206D9D" w:rsidP="00466D13">
      <w:pPr>
        <w:pStyle w:val="ListParagraph"/>
        <w:numPr>
          <w:ilvl w:val="0"/>
          <w:numId w:val="39"/>
        </w:numPr>
        <w:rPr>
          <w:b/>
          <w:bCs/>
        </w:rPr>
      </w:pPr>
      <w:r w:rsidRPr="006777BC">
        <w:rPr>
          <w:b/>
          <w:bCs/>
        </w:rPr>
        <w:t xml:space="preserve">Regional intelligence gathering: </w:t>
      </w:r>
      <w:r w:rsidR="00524E08" w:rsidRPr="000F49C3">
        <w:t>Utilise e</w:t>
      </w:r>
      <w:r w:rsidR="004B5D3A" w:rsidRPr="000F49C3">
        <w:t>vidence based regional intelligence to</w:t>
      </w:r>
      <w:r w:rsidR="004B5D3A" w:rsidRPr="006777BC">
        <w:rPr>
          <w:b/>
          <w:bCs/>
        </w:rPr>
        <w:t xml:space="preserve"> </w:t>
      </w:r>
      <w:r w:rsidR="00FA0FA0">
        <w:t>e</w:t>
      </w:r>
      <w:r>
        <w:t xml:space="preserve">ngage with the region’s local government and industry stakeholders on policy issues, events and opportunities and provide regular advice to the </w:t>
      </w:r>
      <w:r w:rsidR="00075435">
        <w:t xml:space="preserve">Australian </w:t>
      </w:r>
      <w:r>
        <w:t>Government based on this intelligence.</w:t>
      </w:r>
    </w:p>
    <w:p w14:paraId="1E3786AD" w14:textId="143FA176" w:rsidR="00C36C5C" w:rsidRDefault="00C36C5C" w:rsidP="00466D13">
      <w:pPr>
        <w:pStyle w:val="ListParagraph"/>
        <w:numPr>
          <w:ilvl w:val="0"/>
          <w:numId w:val="39"/>
        </w:numPr>
      </w:pPr>
      <w:r w:rsidRPr="006777BC">
        <w:rPr>
          <w:b/>
          <w:bCs/>
        </w:rPr>
        <w:t xml:space="preserve">Housing &amp; Workforce Shortages: </w:t>
      </w:r>
      <w:r w:rsidRPr="00F70FFF">
        <w:t>Identify opportunities for RDA Hume to identify and assist development of solutions of workforce shortage issues including key worker requirements within in the region such as affordable housing, skills gaps and other workforce issues</w:t>
      </w:r>
      <w:r w:rsidR="00EF4BB1">
        <w:t>.</w:t>
      </w:r>
    </w:p>
    <w:p w14:paraId="0DA062FF" w14:textId="56FD2D34" w:rsidR="006777BC" w:rsidRPr="00F70FFF" w:rsidRDefault="00193AC1" w:rsidP="00466D13">
      <w:pPr>
        <w:pStyle w:val="ListParagraph"/>
        <w:numPr>
          <w:ilvl w:val="0"/>
          <w:numId w:val="39"/>
        </w:numPr>
      </w:pPr>
      <w:r w:rsidRPr="006777BC">
        <w:rPr>
          <w:b/>
          <w:bCs/>
        </w:rPr>
        <w:t>Local Government capacity building</w:t>
      </w:r>
      <w:r w:rsidR="006F56DC" w:rsidRPr="00F70FFF">
        <w:t>:</w:t>
      </w:r>
      <w:r w:rsidR="006F56DC">
        <w:t xml:space="preserve"> </w:t>
      </w:r>
      <w:r w:rsidR="003B2C84">
        <w:t xml:space="preserve">connect </w:t>
      </w:r>
      <w:r w:rsidR="00C47C41">
        <w:t xml:space="preserve">with </w:t>
      </w:r>
      <w:r w:rsidR="003B2C84">
        <w:t>and assist</w:t>
      </w:r>
      <w:r w:rsidR="006F3346">
        <w:t xml:space="preserve"> to build capacity of local government professionals in planning and economic development </w:t>
      </w:r>
      <w:r w:rsidR="00AF09F6">
        <w:t xml:space="preserve">related to </w:t>
      </w:r>
      <w:r w:rsidR="00915A50">
        <w:t xml:space="preserve">current </w:t>
      </w:r>
      <w:r w:rsidR="00AF09F6">
        <w:t>priorities</w:t>
      </w:r>
      <w:r w:rsidR="00EF4BB1">
        <w:t>.</w:t>
      </w:r>
    </w:p>
    <w:p w14:paraId="14E3AD44" w14:textId="754FB92B" w:rsidR="00670E19" w:rsidRPr="00466D13" w:rsidRDefault="00C00006" w:rsidP="00466D13">
      <w:pPr>
        <w:pStyle w:val="ListParagraph"/>
        <w:numPr>
          <w:ilvl w:val="0"/>
          <w:numId w:val="38"/>
        </w:numPr>
        <w:rPr>
          <w:rFonts w:eastAsiaTheme="minorEastAsia" w:cs="Arial"/>
          <w:szCs w:val="20"/>
        </w:rPr>
      </w:pPr>
      <w:r w:rsidRPr="006777BC">
        <w:rPr>
          <w:b/>
          <w:bCs/>
        </w:rPr>
        <w:t xml:space="preserve">Energy Transition: </w:t>
      </w:r>
      <w:r w:rsidRPr="00C00006">
        <w:t xml:space="preserve">participate and support activities </w:t>
      </w:r>
      <w:r w:rsidR="00343350">
        <w:t>relating to</w:t>
      </w:r>
      <w:r w:rsidR="00B7489B">
        <w:t xml:space="preserve"> the region’s</w:t>
      </w:r>
      <w:r w:rsidRPr="00C00006">
        <w:t xml:space="preserve"> energy transition including identifying significant threats to established industries and </w:t>
      </w:r>
      <w:r w:rsidR="00343350">
        <w:t xml:space="preserve">any </w:t>
      </w:r>
      <w:r w:rsidRPr="00C00006">
        <w:t xml:space="preserve">requirements for freight and logistics </w:t>
      </w:r>
      <w:r w:rsidR="000540B1">
        <w:t>capabilities.</w:t>
      </w:r>
    </w:p>
    <w:p w14:paraId="316793B2" w14:textId="3645A3B9" w:rsidR="00206D9D" w:rsidRPr="00F64D75" w:rsidRDefault="00206D9D" w:rsidP="00466D13">
      <w:r w:rsidRPr="0084052E">
        <w:t>Summary of key business activities for upcoming year:</w:t>
      </w:r>
    </w:p>
    <w:p w14:paraId="6D99F2AC" w14:textId="14F196BA" w:rsidR="00206D9D" w:rsidRDefault="00206D9D" w:rsidP="00466D13">
      <w:pPr>
        <w:pStyle w:val="ListParagraph"/>
        <w:numPr>
          <w:ilvl w:val="0"/>
          <w:numId w:val="40"/>
        </w:numPr>
      </w:pPr>
      <w:r w:rsidRPr="006777BC">
        <w:rPr>
          <w:b/>
          <w:bCs/>
        </w:rPr>
        <w:t>Advocacy and Engagement:</w:t>
      </w:r>
      <w:r>
        <w:t xml:space="preserve"> </w:t>
      </w:r>
      <w:r w:rsidRPr="00186035">
        <w:t xml:space="preserve">RDA Hume </w:t>
      </w:r>
      <w:r>
        <w:t>to deliver regular</w:t>
      </w:r>
      <w:r w:rsidRPr="00186035">
        <w:t xml:space="preserve"> forums with key stakeholders and local leaders </w:t>
      </w:r>
      <w:r>
        <w:t>on priority issues and gather intelligence on</w:t>
      </w:r>
      <w:r w:rsidRPr="00186035">
        <w:t xml:space="preserve"> economic solutions and develop localised </w:t>
      </w:r>
      <w:r w:rsidR="00FD704B">
        <w:t>evidence-based</w:t>
      </w:r>
      <w:r w:rsidR="00C00006">
        <w:t xml:space="preserve"> </w:t>
      </w:r>
      <w:r w:rsidRPr="00186035">
        <w:t>pathways</w:t>
      </w:r>
      <w:r w:rsidR="00CF6DFD">
        <w:t xml:space="preserve">, including developing </w:t>
      </w:r>
      <w:r w:rsidR="00CF6DFD" w:rsidRPr="00CF6DFD">
        <w:t>partnerships with localised bodies</w:t>
      </w:r>
      <w:r w:rsidR="000F49C3">
        <w:t>.</w:t>
      </w:r>
    </w:p>
    <w:p w14:paraId="45FF969D" w14:textId="77777777" w:rsidR="00206D9D" w:rsidRDefault="00206D9D" w:rsidP="00466D13">
      <w:pPr>
        <w:pStyle w:val="ListParagraph"/>
        <w:numPr>
          <w:ilvl w:val="0"/>
          <w:numId w:val="40"/>
        </w:numPr>
      </w:pPr>
      <w:r w:rsidRPr="006777BC">
        <w:rPr>
          <w:b/>
          <w:bCs/>
        </w:rPr>
        <w:t>Raise Awareness:</w:t>
      </w:r>
      <w:r w:rsidRPr="00A210BA">
        <w:t xml:space="preserve"> Promote Australian government programs, policies and other opportunities as they arise to support potential local applicants to access Commonwealth funding and research.</w:t>
      </w:r>
    </w:p>
    <w:p w14:paraId="71E3BDC7" w14:textId="0E7FA973" w:rsidR="00C00006" w:rsidRDefault="001E6D50" w:rsidP="00466D13">
      <w:pPr>
        <w:pStyle w:val="ListParagraph"/>
        <w:numPr>
          <w:ilvl w:val="0"/>
          <w:numId w:val="40"/>
        </w:numPr>
      </w:pPr>
      <w:bookmarkStart w:id="11" w:name="_Hlk165988930"/>
      <w:r w:rsidRPr="006777BC">
        <w:rPr>
          <w:b/>
          <w:bCs/>
        </w:rPr>
        <w:t xml:space="preserve">Regional </w:t>
      </w:r>
      <w:r w:rsidR="005C6F0C" w:rsidRPr="006777BC">
        <w:rPr>
          <w:b/>
          <w:bCs/>
        </w:rPr>
        <w:t>w</w:t>
      </w:r>
      <w:r w:rsidRPr="006777BC">
        <w:rPr>
          <w:b/>
          <w:bCs/>
        </w:rPr>
        <w:t xml:space="preserve">orker </w:t>
      </w:r>
      <w:r w:rsidR="00BE609A" w:rsidRPr="006777BC">
        <w:rPr>
          <w:b/>
          <w:bCs/>
        </w:rPr>
        <w:t>and housing</w:t>
      </w:r>
      <w:bookmarkEnd w:id="11"/>
      <w:r w:rsidR="00C7264A" w:rsidRPr="006777BC">
        <w:rPr>
          <w:b/>
          <w:bCs/>
        </w:rPr>
        <w:t xml:space="preserve">: </w:t>
      </w:r>
      <w:r w:rsidR="00C7264A" w:rsidRPr="00C7264A">
        <w:t>support</w:t>
      </w:r>
      <w:r w:rsidR="00C7264A">
        <w:t xml:space="preserve"> the</w:t>
      </w:r>
      <w:r w:rsidR="00C00006">
        <w:t xml:space="preserve"> promotion of the</w:t>
      </w:r>
      <w:r w:rsidR="00C7264A">
        <w:t xml:space="preserve"> </w:t>
      </w:r>
      <w:r w:rsidR="00A716AF">
        <w:t>Commonwealth</w:t>
      </w:r>
      <w:r w:rsidR="005C6F0C">
        <w:t xml:space="preserve"> and </w:t>
      </w:r>
      <w:r w:rsidR="00030A42">
        <w:t>State</w:t>
      </w:r>
      <w:r>
        <w:t xml:space="preserve"> </w:t>
      </w:r>
      <w:r w:rsidR="00C7264A">
        <w:t xml:space="preserve">Government’s </w:t>
      </w:r>
      <w:r w:rsidR="00B55AC8">
        <w:t xml:space="preserve">economic development </w:t>
      </w:r>
      <w:r w:rsidR="002C7067">
        <w:t xml:space="preserve">and infrastructure </w:t>
      </w:r>
      <w:r w:rsidR="00B06803">
        <w:t>programs and grant opportunities</w:t>
      </w:r>
      <w:r w:rsidR="00621FA0">
        <w:t>,</w:t>
      </w:r>
      <w:r w:rsidR="002463D2">
        <w:t xml:space="preserve"> </w:t>
      </w:r>
      <w:r w:rsidR="00343350">
        <w:t xml:space="preserve">and </w:t>
      </w:r>
      <w:r w:rsidR="00C00006">
        <w:t>work with stakeholder</w:t>
      </w:r>
      <w:r w:rsidR="00343350">
        <w:t>s</w:t>
      </w:r>
      <w:r w:rsidR="00C00006">
        <w:t xml:space="preserve"> to </w:t>
      </w:r>
      <w:r>
        <w:t xml:space="preserve">support </w:t>
      </w:r>
      <w:r w:rsidR="00C00006">
        <w:t xml:space="preserve">appropriate </w:t>
      </w:r>
      <w:r w:rsidR="00343350">
        <w:t>projects</w:t>
      </w:r>
      <w:r w:rsidR="00C41927">
        <w:t xml:space="preserve"> and planning</w:t>
      </w:r>
      <w:r w:rsidR="00C71B72">
        <w:t xml:space="preserve"> activities</w:t>
      </w:r>
      <w:r w:rsidR="00C41927">
        <w:t>.</w:t>
      </w:r>
    </w:p>
    <w:p w14:paraId="7B481393" w14:textId="25551FBB" w:rsidR="00C00006" w:rsidRPr="00C00006" w:rsidRDefault="00C00006" w:rsidP="00466D13">
      <w:pPr>
        <w:pStyle w:val="ListParagraph"/>
        <w:numPr>
          <w:ilvl w:val="0"/>
          <w:numId w:val="40"/>
        </w:numPr>
      </w:pPr>
      <w:r w:rsidRPr="006777BC">
        <w:rPr>
          <w:b/>
          <w:bCs/>
        </w:rPr>
        <w:t>Cross Border Communities:</w:t>
      </w:r>
      <w:r w:rsidRPr="00C00006">
        <w:t xml:space="preserve"> collaborate with RDA Murray, RDA Loddon Mallee, the Victorian Cross Border Commissioner, and other relevant organisations such as the Murray River Tourism Board (MRTB) and Tourism </w:t>
      </w:r>
      <w:proofErr w:type="gramStart"/>
      <w:r w:rsidRPr="00C00006">
        <w:t>North East</w:t>
      </w:r>
      <w:proofErr w:type="gramEnd"/>
      <w:r w:rsidRPr="00C00006">
        <w:t xml:space="preserve"> (TNE) on </w:t>
      </w:r>
      <w:r w:rsidR="00F70FFF" w:rsidRPr="00C00006">
        <w:t>economic opportunities</w:t>
      </w:r>
      <w:r w:rsidRPr="00C00006">
        <w:t>.</w:t>
      </w:r>
    </w:p>
    <w:p w14:paraId="452F0012" w14:textId="372280D7" w:rsidR="0067784D" w:rsidRDefault="0067784D" w:rsidP="0067784D">
      <w:pPr>
        <w:rPr>
          <w:rFonts w:ascii="Arial" w:hAnsi="Arial" w:cs="Arial"/>
        </w:rPr>
      </w:pPr>
    </w:p>
    <w:p w14:paraId="678DD717" w14:textId="77777777" w:rsidR="006777BC" w:rsidRDefault="006777BC">
      <w:pPr>
        <w:spacing w:after="160"/>
        <w:rPr>
          <w:rFonts w:ascii="Calibri" w:eastAsiaTheme="majorEastAsia" w:hAnsi="Calibri" w:cstheme="majorBidi"/>
          <w:color w:val="50830B"/>
          <w:sz w:val="36"/>
          <w:szCs w:val="28"/>
        </w:rPr>
      </w:pPr>
      <w:r>
        <w:br w:type="page"/>
      </w:r>
    </w:p>
    <w:p w14:paraId="7D3F081B" w14:textId="1428428D" w:rsidR="006777BC" w:rsidRDefault="00190056" w:rsidP="006777BC">
      <w:pPr>
        <w:pStyle w:val="Heading2"/>
      </w:pPr>
      <w:r>
        <w:lastRenderedPageBreak/>
        <w:t>Outcome 1</w:t>
      </w:r>
    </w:p>
    <w:p w14:paraId="0BA22768" w14:textId="50C5F6D3" w:rsidR="00190056" w:rsidRPr="00190056" w:rsidRDefault="00190056" w:rsidP="006777BC">
      <w:r w:rsidRPr="00190056">
        <w:t>Facilitate regional economic development outcomes, investment, jobs and local procurement</w:t>
      </w:r>
      <w:r w:rsidR="00693A4A">
        <w:t>.</w:t>
      </w:r>
    </w:p>
    <w:p w14:paraId="6CA082FE" w14:textId="7BB62EDB" w:rsidR="00190056" w:rsidRDefault="00190056" w:rsidP="00466D13">
      <w:pPr>
        <w:pStyle w:val="Heading3"/>
      </w:pPr>
      <w:r>
        <w:t>Performance indicators</w:t>
      </w:r>
    </w:p>
    <w:p w14:paraId="4A42DD7E" w14:textId="77777777" w:rsidR="00190056" w:rsidRPr="003A5E19" w:rsidRDefault="00190056" w:rsidP="00466D13">
      <w:pPr>
        <w:pStyle w:val="ListParagraph"/>
        <w:numPr>
          <w:ilvl w:val="0"/>
          <w:numId w:val="28"/>
        </w:numPr>
      </w:pPr>
      <w:r w:rsidRPr="003A5E19">
        <w:t>Provide details and/or a copy of a suitable existing strategic Regional Plan that your RDA is contributing to or that your RDA is developing in accordance with the Charter and the RDA Better Practice Guide.</w:t>
      </w:r>
    </w:p>
    <w:p w14:paraId="0237FC60" w14:textId="77777777" w:rsidR="00190056" w:rsidRPr="003A5E19" w:rsidRDefault="00190056" w:rsidP="00466D13">
      <w:pPr>
        <w:pStyle w:val="ListParagraph"/>
        <w:numPr>
          <w:ilvl w:val="0"/>
          <w:numId w:val="28"/>
        </w:numPr>
      </w:pPr>
      <w:r w:rsidRPr="003A5E19">
        <w:t>Provide details of the investment (in dollar terms), jobs (number), local procurement opportunities (in dollar terms) and other regional development outcomes that your RDA will facilitate (for planning purposes) or has facilitated (for reporting purposes) for your region during this financial year. Please separate these in terms of outcomes that your RDA has:</w:t>
      </w:r>
    </w:p>
    <w:p w14:paraId="38D99AEF" w14:textId="77777777" w:rsidR="00190056" w:rsidRPr="003A5E19" w:rsidRDefault="00190056" w:rsidP="00466D13">
      <w:pPr>
        <w:pStyle w:val="ListParagraph"/>
        <w:numPr>
          <w:ilvl w:val="0"/>
          <w:numId w:val="29"/>
        </w:numPr>
      </w:pPr>
      <w:r w:rsidRPr="003A5E19">
        <w:t>Lead/championed – heavily involved with the outcome</w:t>
      </w:r>
    </w:p>
    <w:p w14:paraId="0F19952D" w14:textId="77777777" w:rsidR="00190056" w:rsidRPr="003A5E19" w:rsidRDefault="00190056" w:rsidP="00466D13">
      <w:pPr>
        <w:pStyle w:val="ListParagraph"/>
        <w:numPr>
          <w:ilvl w:val="0"/>
          <w:numId w:val="29"/>
        </w:numPr>
      </w:pPr>
      <w:r w:rsidRPr="003A5E19">
        <w:t>Contributed to – moderately involved with the outcome</w:t>
      </w:r>
    </w:p>
    <w:p w14:paraId="637C9B5D" w14:textId="77777777" w:rsidR="00190056" w:rsidRPr="003A5E19" w:rsidRDefault="00190056" w:rsidP="00466D13">
      <w:pPr>
        <w:pStyle w:val="ListParagraph"/>
        <w:numPr>
          <w:ilvl w:val="0"/>
          <w:numId w:val="29"/>
        </w:numPr>
      </w:pPr>
      <w:r w:rsidRPr="003A5E19">
        <w:t>Otherwise assisted – marginally involved with the outcome.</w:t>
      </w:r>
    </w:p>
    <w:p w14:paraId="6C54B441" w14:textId="3E612B95" w:rsidR="00190056" w:rsidRPr="00190056" w:rsidRDefault="00190056" w:rsidP="00190056">
      <w:r w:rsidRPr="003A5E19">
        <w:t xml:space="preserve">Examples of these levels of involvement are at item A.3.3 of your 2021-25 </w:t>
      </w:r>
      <w:r>
        <w:t>f</w:t>
      </w:r>
      <w:r w:rsidRPr="003A5E19">
        <w:t xml:space="preserve">unding </w:t>
      </w:r>
      <w:r>
        <w:t>a</w:t>
      </w:r>
      <w:r w:rsidRPr="003A5E19">
        <w:t>greement.</w:t>
      </w:r>
    </w:p>
    <w:p w14:paraId="0179CB5D" w14:textId="3A2B663D" w:rsidR="0067784D" w:rsidRDefault="00190056" w:rsidP="00466D13">
      <w:pPr>
        <w:pStyle w:val="Heading3"/>
      </w:pPr>
      <w:r>
        <w:t>Part 1 – for the annual business plan</w:t>
      </w:r>
    </w:p>
    <w:p w14:paraId="351D4847" w14:textId="00C7AC48" w:rsidR="00190056" w:rsidRDefault="00190056" w:rsidP="00466D13">
      <w:pPr>
        <w:pStyle w:val="Heading4"/>
      </w:pPr>
      <w:r>
        <w:t>What will we do?</w:t>
      </w:r>
    </w:p>
    <w:p w14:paraId="64BF1CD0" w14:textId="77777777" w:rsidR="006777BC" w:rsidRDefault="006777BC" w:rsidP="00466D13">
      <w:pPr>
        <w:pStyle w:val="Heading5"/>
      </w:pPr>
      <w:r>
        <w:t>Activity 1</w:t>
      </w:r>
    </w:p>
    <w:p w14:paraId="12C131A1" w14:textId="77777777" w:rsidR="006777BC" w:rsidRDefault="006777BC" w:rsidP="006777BC">
      <w:r>
        <w:t>Identify economic development opportunities that provide collaboration and co-investment between private and public sectors targeting priority issues to address key areas of economic barriers including:</w:t>
      </w:r>
    </w:p>
    <w:p w14:paraId="1899ADB4" w14:textId="020AC600" w:rsidR="006777BC" w:rsidRDefault="006777BC" w:rsidP="00466D13">
      <w:pPr>
        <w:pStyle w:val="ListParagraph"/>
        <w:numPr>
          <w:ilvl w:val="0"/>
          <w:numId w:val="30"/>
        </w:numPr>
      </w:pPr>
      <w:r>
        <w:t>Engaging with organisations, potential investors, industry experts and local government areas to discuss feasible investment opportunities (L&amp;C). Timeframe: ongoing</w:t>
      </w:r>
      <w:r w:rsidR="008C03FF">
        <w:t>.</w:t>
      </w:r>
    </w:p>
    <w:p w14:paraId="5AA99F6A" w14:textId="19EF6AC6" w:rsidR="006777BC" w:rsidRDefault="006777BC" w:rsidP="00466D13">
      <w:pPr>
        <w:pStyle w:val="ListParagraph"/>
        <w:numPr>
          <w:ilvl w:val="0"/>
          <w:numId w:val="30"/>
        </w:numPr>
      </w:pPr>
      <w:r>
        <w:t>Deliver the Hume Region Housing Prospectus identifying viable sites and potential solutions to key worker affordable housing shortage within the region (L&amp;C). Timeframe: by end of 2024.</w:t>
      </w:r>
    </w:p>
    <w:p w14:paraId="38559B39" w14:textId="74871578" w:rsidR="006777BC" w:rsidRDefault="006777BC" w:rsidP="00466D13">
      <w:pPr>
        <w:pStyle w:val="ListParagraph"/>
        <w:numPr>
          <w:ilvl w:val="0"/>
          <w:numId w:val="30"/>
        </w:numPr>
      </w:pPr>
      <w:r>
        <w:t>Support the Victorian State Government to achieve the regional economic development objectives relating to the Hume Region contained in the Ovens Murray and Goulburn REDS (O). Timeframe: ongoing.</w:t>
      </w:r>
    </w:p>
    <w:p w14:paraId="47309AE5" w14:textId="77777777" w:rsidR="006777BC" w:rsidRDefault="006777BC" w:rsidP="00466D13">
      <w:pPr>
        <w:pStyle w:val="Heading5"/>
      </w:pPr>
      <w:r>
        <w:t>Activity 2</w:t>
      </w:r>
    </w:p>
    <w:p w14:paraId="2EB31E15" w14:textId="0B9E8574" w:rsidR="006777BC" w:rsidRDefault="006777BC" w:rsidP="006777BC">
      <w:r>
        <w:t>Development of Hume Regional Workforce Development Plan 2025-2028 - Identify opportunities for RDA Hume to identify and assist development of solutions of workforce shortage issues Timeframe: 2024-25 (L&amp;C)</w:t>
      </w:r>
      <w:r w:rsidR="00693A4A">
        <w:t>.</w:t>
      </w:r>
    </w:p>
    <w:p w14:paraId="15B70AA1" w14:textId="77777777" w:rsidR="006777BC" w:rsidRDefault="006777BC" w:rsidP="00466D13">
      <w:pPr>
        <w:pStyle w:val="Heading5"/>
      </w:pPr>
      <w:r>
        <w:t>Activity 3</w:t>
      </w:r>
    </w:p>
    <w:p w14:paraId="2A1F6F99" w14:textId="77777777" w:rsidR="006777BC" w:rsidRDefault="006777BC" w:rsidP="006777BC">
      <w:r>
        <w:t>Cross Border Communities:</w:t>
      </w:r>
    </w:p>
    <w:p w14:paraId="13090166" w14:textId="309F5641" w:rsidR="006777BC" w:rsidRDefault="006777BC" w:rsidP="00466D13">
      <w:pPr>
        <w:pStyle w:val="ListParagraph"/>
        <w:numPr>
          <w:ilvl w:val="0"/>
          <w:numId w:val="31"/>
        </w:numPr>
      </w:pPr>
      <w:r>
        <w:t>RDA Hume will continue its collaboration with its cross-border partners to identify opportunities for economic prosperity and any advocacy role required for RDA Hume (LCO). Timeframe: ongoing.</w:t>
      </w:r>
    </w:p>
    <w:p w14:paraId="1D66042A" w14:textId="5B727381" w:rsidR="00190056" w:rsidRDefault="006777BC" w:rsidP="006777BC">
      <w:pPr>
        <w:pStyle w:val="ListParagraph"/>
        <w:numPr>
          <w:ilvl w:val="0"/>
          <w:numId w:val="31"/>
        </w:numPr>
      </w:pPr>
      <w:r>
        <w:t>Continue participation in the Albury Wodonga Regional Projects</w:t>
      </w:r>
      <w:r w:rsidR="00693A4A">
        <w:t>.</w:t>
      </w:r>
    </w:p>
    <w:p w14:paraId="00AD4650" w14:textId="586857E8" w:rsidR="006777BC" w:rsidRDefault="006777BC" w:rsidP="006777BC">
      <w:pPr>
        <w:pStyle w:val="Heading2"/>
      </w:pPr>
      <w:r>
        <w:lastRenderedPageBreak/>
        <w:t>Outcome 2</w:t>
      </w:r>
    </w:p>
    <w:p w14:paraId="72C6DD37" w14:textId="559AEA1F" w:rsidR="006777BC" w:rsidRPr="006777BC" w:rsidRDefault="006777BC" w:rsidP="00466D13">
      <w:r w:rsidRPr="006777BC">
        <w:t>Promote greater regional awareness of and engagement with Australian Government policies, grant programs and research</w:t>
      </w:r>
      <w:r w:rsidR="00693A4A">
        <w:t>.</w:t>
      </w:r>
    </w:p>
    <w:p w14:paraId="7AD878BA" w14:textId="4F6863BB" w:rsidR="006777BC" w:rsidRDefault="006777BC" w:rsidP="006777BC">
      <w:pPr>
        <w:pStyle w:val="Heading3"/>
      </w:pPr>
      <w:r>
        <w:t>Performance indicators</w:t>
      </w:r>
    </w:p>
    <w:p w14:paraId="7C7C75BD" w14:textId="77777777" w:rsidR="006777BC" w:rsidRPr="003A5E19" w:rsidRDefault="006777BC" w:rsidP="00466D13">
      <w:pPr>
        <w:pStyle w:val="ListParagraph"/>
        <w:numPr>
          <w:ilvl w:val="0"/>
          <w:numId w:val="32"/>
        </w:numPr>
      </w:pPr>
      <w:r w:rsidRPr="003A5E19">
        <w:t>Provide details of where you have supported awareness raising and/or engagement</w:t>
      </w:r>
    </w:p>
    <w:p w14:paraId="1E5181C2" w14:textId="4DBDC421" w:rsidR="006777BC" w:rsidRDefault="006777BC" w:rsidP="006777BC">
      <w:pPr>
        <w:pStyle w:val="ListParagraph"/>
        <w:numPr>
          <w:ilvl w:val="0"/>
          <w:numId w:val="32"/>
        </w:numPr>
      </w:pPr>
      <w:r w:rsidRPr="003A5E19">
        <w:t>Number of submissions supported.</w:t>
      </w:r>
    </w:p>
    <w:p w14:paraId="2D01EBD5" w14:textId="159D8C8F" w:rsidR="006777BC" w:rsidRDefault="006777BC" w:rsidP="00466D13">
      <w:pPr>
        <w:pStyle w:val="Heading3"/>
      </w:pPr>
      <w:r>
        <w:t>Section 1 – for the annual Business Plan</w:t>
      </w:r>
    </w:p>
    <w:p w14:paraId="4FAE8819" w14:textId="77777777" w:rsidR="006777BC" w:rsidRDefault="006777BC" w:rsidP="00466D13">
      <w:pPr>
        <w:pStyle w:val="Heading4"/>
      </w:pPr>
      <w:r>
        <w:t>What will we do?</w:t>
      </w:r>
    </w:p>
    <w:p w14:paraId="75A80184" w14:textId="77777777" w:rsidR="006777BC" w:rsidRDefault="006777BC" w:rsidP="006777BC">
      <w:r>
        <w:t>As per the RDA Hume Communications Strategy outlined above, RDA Hume undertakes to:</w:t>
      </w:r>
    </w:p>
    <w:p w14:paraId="494F2E5F" w14:textId="64898467" w:rsidR="006777BC" w:rsidRDefault="006777BC" w:rsidP="00466D13">
      <w:pPr>
        <w:pStyle w:val="Heading5"/>
      </w:pPr>
      <w:r>
        <w:t>Activity 1: Provide support for applicants seeking Commonwealth and State Government Funding</w:t>
      </w:r>
    </w:p>
    <w:p w14:paraId="7DB2D171" w14:textId="299088C8" w:rsidR="006777BC" w:rsidRDefault="006777BC" w:rsidP="006777BC">
      <w:r>
        <w:t>RDA Hume will continue to provide information and support to applicants to create competitive submissions for Commonwealth and State Government Funding where appropriate and in alignment with the selection criteria and eligibility (C).</w:t>
      </w:r>
    </w:p>
    <w:p w14:paraId="0BEF9242" w14:textId="74AE7CBD" w:rsidR="006777BC" w:rsidRDefault="006777BC" w:rsidP="006777BC">
      <w:r>
        <w:t>RDA Hume will provide letters of support for applicants as appropriate and where the project will contribute to long term economic growth for the region and is an identified priority project (L).</w:t>
      </w:r>
    </w:p>
    <w:p w14:paraId="00CA96E4" w14:textId="0BE41B94" w:rsidR="006777BC" w:rsidRDefault="006777BC" w:rsidP="00466D13">
      <w:pPr>
        <w:pStyle w:val="Heading5"/>
      </w:pPr>
      <w:r>
        <w:t>Activity 2: Increase regional awareness of Commonwealth and State Government policies, grants, programs and research</w:t>
      </w:r>
    </w:p>
    <w:p w14:paraId="770B630B" w14:textId="6AFCCC50" w:rsidR="006777BC" w:rsidRDefault="006777BC" w:rsidP="006777BC">
      <w:r>
        <w:t>RDA Hume will actively promote and disseminate information to regional business, communities and industry on grants, programs, research and other Commonwealth and State Government initiatives using the most appropriate channels including e-newsletters, social media, stakeholder engagement and leverage access to other Victorian Government communication channels. (L)</w:t>
      </w:r>
    </w:p>
    <w:p w14:paraId="0AE3A260" w14:textId="2F0B6EF3" w:rsidR="006777BC" w:rsidRDefault="006777BC" w:rsidP="00466D13">
      <w:pPr>
        <w:pStyle w:val="Heading5"/>
      </w:pPr>
      <w:r>
        <w:t>Activity 3: RDA Hume Engagement and Representation</w:t>
      </w:r>
    </w:p>
    <w:p w14:paraId="59D8E1D0" w14:textId="3A39EB56" w:rsidR="006777BC" w:rsidRDefault="006777BC" w:rsidP="006777BC">
      <w:r>
        <w:t>RDA Hume will host, attend and facilitate meetings, forums and other forms of stakeholder engagement to support development of regional key priorities and projects as identified in the RDA Hume Region Priority Projects List. (L)</w:t>
      </w:r>
    </w:p>
    <w:p w14:paraId="41068488" w14:textId="33148F90" w:rsidR="006777BC" w:rsidRDefault="006777BC" w:rsidP="006777BC">
      <w:r>
        <w:t>Facilitate stakeholder meetings or briefings to promote and or assist in the delivery of Australian Government programs</w:t>
      </w:r>
      <w:r w:rsidR="00693A4A">
        <w:t>.</w:t>
      </w:r>
      <w:r>
        <w:t xml:space="preserve"> (L)</w:t>
      </w:r>
    </w:p>
    <w:p w14:paraId="2C7C5389" w14:textId="07E587A4" w:rsidR="006777BC" w:rsidRDefault="006777BC" w:rsidP="00466D13">
      <w:pPr>
        <w:pStyle w:val="Heading2"/>
      </w:pPr>
      <w:r>
        <w:t>Outcome 3</w:t>
      </w:r>
    </w:p>
    <w:p w14:paraId="7CE11B0D" w14:textId="77777777" w:rsidR="006777BC" w:rsidRDefault="006777BC" w:rsidP="006777BC">
      <w:r>
        <w:t>Contribute to Commonwealth regional policy making by providing intelligence and evidence-based advice to the Australian Government on regional development issues.</w:t>
      </w:r>
    </w:p>
    <w:p w14:paraId="0ACE858B" w14:textId="77777777" w:rsidR="006777BC" w:rsidRDefault="006777BC" w:rsidP="006777BC">
      <w:pPr>
        <w:pStyle w:val="Heading3"/>
      </w:pPr>
      <w:r>
        <w:t>Performance indicators</w:t>
      </w:r>
    </w:p>
    <w:p w14:paraId="708EA463" w14:textId="77777777" w:rsidR="006777BC" w:rsidRDefault="006777BC" w:rsidP="00466D13">
      <w:pPr>
        <w:pStyle w:val="ListParagraph"/>
        <w:numPr>
          <w:ilvl w:val="0"/>
          <w:numId w:val="35"/>
        </w:numPr>
      </w:pPr>
      <w:r>
        <w:t>Outline instances where you have provided intelligence and evidence-based advice to the Australian Government</w:t>
      </w:r>
    </w:p>
    <w:p w14:paraId="1D122E70" w14:textId="17DCCA1F" w:rsidR="006777BC" w:rsidRDefault="006777BC" w:rsidP="006777BC">
      <w:pPr>
        <w:pStyle w:val="ListParagraph"/>
        <w:numPr>
          <w:ilvl w:val="0"/>
          <w:numId w:val="35"/>
        </w:numPr>
      </w:pPr>
      <w:r>
        <w:t>Number of instances information / feedback was provided.</w:t>
      </w:r>
    </w:p>
    <w:p w14:paraId="2919DC4E" w14:textId="77777777" w:rsidR="006777BC" w:rsidRDefault="006777BC" w:rsidP="006777BC">
      <w:pPr>
        <w:pStyle w:val="Heading3"/>
      </w:pPr>
      <w:r>
        <w:lastRenderedPageBreak/>
        <w:t>Section 1 – for the annual Business Plan</w:t>
      </w:r>
    </w:p>
    <w:p w14:paraId="1CA90471" w14:textId="77777777" w:rsidR="006777BC" w:rsidRDefault="006777BC" w:rsidP="00466D13">
      <w:pPr>
        <w:pStyle w:val="Heading4"/>
      </w:pPr>
      <w:r>
        <w:t>What will we do?</w:t>
      </w:r>
    </w:p>
    <w:p w14:paraId="1B1C2404" w14:textId="28723387" w:rsidR="006777BC" w:rsidRDefault="006777BC" w:rsidP="00466D13">
      <w:pPr>
        <w:pStyle w:val="Heading5"/>
      </w:pPr>
      <w:r>
        <w:t>Activity 1</w:t>
      </w:r>
    </w:p>
    <w:p w14:paraId="219E7370" w14:textId="11BE06B0" w:rsidR="006777BC" w:rsidRDefault="006777BC" w:rsidP="00466D13">
      <w:pPr>
        <w:pStyle w:val="ListParagraph"/>
        <w:numPr>
          <w:ilvl w:val="0"/>
          <w:numId w:val="36"/>
        </w:numPr>
      </w:pPr>
      <w:r>
        <w:t>Provide evidence-based advice to the Federal government on critical regional economic development issues</w:t>
      </w:r>
      <w:r w:rsidR="00693A4A">
        <w:t>.</w:t>
      </w:r>
    </w:p>
    <w:p w14:paraId="56BF5C30" w14:textId="71369CC8" w:rsidR="006777BC" w:rsidRDefault="006777BC" w:rsidP="00466D13">
      <w:pPr>
        <w:pStyle w:val="ListParagraph"/>
        <w:numPr>
          <w:ilvl w:val="0"/>
          <w:numId w:val="36"/>
        </w:numPr>
      </w:pPr>
      <w:r>
        <w:t>Continue to meet with members of parliament to discuss regional matters.</w:t>
      </w:r>
    </w:p>
    <w:p w14:paraId="064088BD" w14:textId="1B6D8008" w:rsidR="006777BC" w:rsidRDefault="006777BC" w:rsidP="00466D13">
      <w:pPr>
        <w:pStyle w:val="ListParagraph"/>
        <w:numPr>
          <w:ilvl w:val="0"/>
          <w:numId w:val="36"/>
        </w:numPr>
      </w:pPr>
      <w:r>
        <w:t xml:space="preserve">Attend and participate in online briefings, meetings, townhalls and conference held by Australian Government ministers with carriage of the RDA Network and/or related portfolios. </w:t>
      </w:r>
    </w:p>
    <w:p w14:paraId="74CA7254" w14:textId="069A210C" w:rsidR="006777BC" w:rsidRDefault="006777BC" w:rsidP="00466D13">
      <w:pPr>
        <w:pStyle w:val="Heading5"/>
      </w:pPr>
      <w:r>
        <w:t xml:space="preserve">Activity 2 </w:t>
      </w:r>
    </w:p>
    <w:p w14:paraId="1590FF26" w14:textId="4213587E" w:rsidR="006777BC" w:rsidRDefault="006777BC" w:rsidP="00466D13">
      <w:pPr>
        <w:pStyle w:val="ListParagraph"/>
        <w:numPr>
          <w:ilvl w:val="0"/>
          <w:numId w:val="37"/>
        </w:numPr>
      </w:pPr>
      <w:r>
        <w:t>Conduct engagement activities with local leaders, innovators, industry experts and other regional stakeholders to coordinate advice to government on strategic focus areas (such as housing, workforce issues and energy transition)</w:t>
      </w:r>
      <w:r w:rsidR="00693A4A">
        <w:t>.</w:t>
      </w:r>
      <w:r>
        <w:t xml:space="preserve"> (L)</w:t>
      </w:r>
    </w:p>
    <w:p w14:paraId="76990761" w14:textId="1FB46DC6" w:rsidR="006777BC" w:rsidRDefault="006777BC" w:rsidP="00466D13">
      <w:pPr>
        <w:pStyle w:val="Heading5"/>
      </w:pPr>
      <w:r>
        <w:t>Activity 3</w:t>
      </w:r>
    </w:p>
    <w:p w14:paraId="67BD0561" w14:textId="1A770378" w:rsidR="006777BC" w:rsidRDefault="006777BC" w:rsidP="00466D13">
      <w:pPr>
        <w:pStyle w:val="ListParagraph"/>
        <w:numPr>
          <w:ilvl w:val="0"/>
          <w:numId w:val="37"/>
        </w:numPr>
      </w:pPr>
      <w:r>
        <w:t>RDA Hume will actively engage and collaborate with relevant Federal and State Government Departments, agencies, and other entities such as the RDA Melbourne and Regional Partnerships (including participation in surveys and enquiries as required). (L / C)</w:t>
      </w:r>
    </w:p>
    <w:p w14:paraId="7EE09B0B" w14:textId="45427F09" w:rsidR="004D5EB4" w:rsidRDefault="006777BC" w:rsidP="00F57478">
      <w:pPr>
        <w:pStyle w:val="ListParagraph"/>
        <w:numPr>
          <w:ilvl w:val="0"/>
          <w:numId w:val="37"/>
        </w:numPr>
        <w:rPr>
          <w:rFonts w:ascii="Arial" w:hAnsi="Arial" w:cs="Arial"/>
        </w:rPr>
      </w:pPr>
      <w:r>
        <w:t>RDA Hume will participate in the state-wide Victorian RDA projects to support successful outcomes. (L / C)</w:t>
      </w:r>
    </w:p>
    <w:p w14:paraId="67D492DC" w14:textId="38BC9E01" w:rsidR="0067784D" w:rsidRPr="00EE0625" w:rsidRDefault="0067784D" w:rsidP="00466D13">
      <w:pPr>
        <w:pStyle w:val="Heading3"/>
        <w:rPr>
          <w:rFonts w:ascii="Arial" w:hAnsi="Arial" w:cs="Arial"/>
          <w:b w:val="0"/>
          <w:bCs/>
          <w:i/>
          <w:iCs/>
          <w:color w:val="C00000"/>
        </w:rPr>
      </w:pPr>
    </w:p>
    <w:sectPr w:rsidR="0067784D" w:rsidRPr="00EE0625" w:rsidSect="006A06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1A61" w14:textId="77777777" w:rsidR="005B57A7" w:rsidRDefault="005B57A7" w:rsidP="00350DBD">
      <w:pPr>
        <w:spacing w:after="0" w:line="240" w:lineRule="auto"/>
      </w:pPr>
      <w:r>
        <w:separator/>
      </w:r>
    </w:p>
  </w:endnote>
  <w:endnote w:type="continuationSeparator" w:id="0">
    <w:p w14:paraId="11FB0142" w14:textId="77777777" w:rsidR="005B57A7" w:rsidRDefault="005B57A7" w:rsidP="00350DBD">
      <w:pPr>
        <w:spacing w:after="0" w:line="240" w:lineRule="auto"/>
      </w:pPr>
      <w:r>
        <w:continuationSeparator/>
      </w:r>
    </w:p>
  </w:endnote>
  <w:endnote w:type="continuationNotice" w:id="1">
    <w:p w14:paraId="7A4E6F25" w14:textId="77777777" w:rsidR="005B57A7" w:rsidRDefault="005B5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C102" w14:textId="70ED93C0" w:rsidR="001A38D1" w:rsidRDefault="003F62F6">
    <w:pPr>
      <w:pStyle w:val="Footer"/>
      <w:jc w:val="right"/>
    </w:pPr>
    <w:r>
      <w:rPr>
        <w:noProof/>
      </w:rPr>
      <mc:AlternateContent>
        <mc:Choice Requires="wps">
          <w:drawing>
            <wp:anchor distT="0" distB="0" distL="114300" distR="114300" simplePos="0" relativeHeight="251658242" behindDoc="0" locked="0" layoutInCell="0" allowOverlap="1" wp14:anchorId="654A2469" wp14:editId="63209FD1">
              <wp:simplePos x="0" y="0"/>
              <wp:positionH relativeFrom="page">
                <wp:align>center</wp:align>
              </wp:positionH>
              <wp:positionV relativeFrom="page">
                <wp:align>bottom</wp:align>
              </wp:positionV>
              <wp:extent cx="7772400" cy="442595"/>
              <wp:effectExtent l="0" t="0" r="0" b="14605"/>
              <wp:wrapNone/>
              <wp:docPr id="5" name="Text Box 5"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56F24" w14:textId="6BBD055B" w:rsidR="003F62F6" w:rsidRPr="003F62F6" w:rsidRDefault="003F62F6" w:rsidP="003F62F6">
                          <w:pPr>
                            <w:spacing w:after="0"/>
                            <w:jc w:val="center"/>
                            <w:rPr>
                              <w:rFonts w:ascii="Arial" w:hAnsi="Arial" w:cs="Arial"/>
                              <w:color w:val="000000"/>
                              <w:sz w:val="24"/>
                            </w:rPr>
                          </w:pPr>
                          <w:r w:rsidRPr="003F62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A2469" id="_x0000_t202" coordsize="21600,21600" o:spt="202" path="m,l,21600r21600,l21600,xe">
              <v:stroke joinstyle="miter"/>
              <v:path gradientshapeok="t" o:connecttype="rect"/>
            </v:shapetype>
            <v:shape id="Text Box 5" o:spid="_x0000_s1029" type="#_x0000_t202" alt="{&quot;HashCode&quot;:376260202,&quot;Height&quot;:9999999.0,&quot;Width&quot;:9999999.0,&quot;Placement&quot;:&quot;Footer&quot;,&quot;Index&quot;:&quot;Primary&quot;,&quot;Section&quot;:1,&quot;Top&quot;:0.0,&quot;Left&quot;:0.0}" style="position:absolute;left:0;text-align:left;margin-left:0;margin-top:0;width:612pt;height:34.8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7256F24" w14:textId="6BBD055B" w:rsidR="003F62F6" w:rsidRPr="003F62F6" w:rsidRDefault="003F62F6" w:rsidP="003F62F6">
                    <w:pPr>
                      <w:spacing w:after="0"/>
                      <w:jc w:val="center"/>
                      <w:rPr>
                        <w:rFonts w:ascii="Arial" w:hAnsi="Arial" w:cs="Arial"/>
                        <w:color w:val="000000"/>
                        <w:sz w:val="24"/>
                      </w:rPr>
                    </w:pPr>
                    <w:r w:rsidRPr="003F62F6">
                      <w:rPr>
                        <w:rFonts w:ascii="Arial" w:hAnsi="Arial" w:cs="Arial"/>
                        <w:color w:val="000000"/>
                        <w:sz w:val="24"/>
                      </w:rPr>
                      <w:t>OFFICIAL</w:t>
                    </w:r>
                  </w:p>
                </w:txbxContent>
              </v:textbox>
              <w10:wrap anchorx="page" anchory="page"/>
            </v:shape>
          </w:pict>
        </mc:Fallback>
      </mc:AlternateContent>
    </w:r>
    <w:r w:rsidR="000A13EE">
      <w:rPr>
        <w:noProof/>
      </w:rPr>
      <mc:AlternateContent>
        <mc:Choice Requires="wps">
          <w:drawing>
            <wp:anchor distT="0" distB="0" distL="114300" distR="114300" simplePos="0" relativeHeight="251658240" behindDoc="0" locked="0" layoutInCell="0" allowOverlap="1" wp14:anchorId="3348D1C4" wp14:editId="1ACD3A4A">
              <wp:simplePos x="0" y="0"/>
              <wp:positionH relativeFrom="page">
                <wp:align>center</wp:align>
              </wp:positionH>
              <wp:positionV relativeFrom="page">
                <wp:align>bottom</wp:align>
              </wp:positionV>
              <wp:extent cx="7772400" cy="442595"/>
              <wp:effectExtent l="0" t="0" r="0" b="14605"/>
              <wp:wrapNone/>
              <wp:docPr id="1" name="Text Box 1"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C52B2" w14:textId="4099D7BB" w:rsidR="000A13EE" w:rsidRPr="00C936A0" w:rsidRDefault="00C936A0" w:rsidP="00C936A0">
                          <w:pPr>
                            <w:spacing w:after="0"/>
                            <w:jc w:val="center"/>
                            <w:rPr>
                              <w:rFonts w:ascii="Arial" w:hAnsi="Arial" w:cs="Arial"/>
                              <w:color w:val="000000"/>
                              <w:sz w:val="24"/>
                            </w:rPr>
                          </w:pPr>
                          <w:r w:rsidRPr="00C936A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348D1C4" id="Text Box 1" o:spid="_x0000_s1030" type="#_x0000_t202" alt="{&quot;HashCode&quot;:376260202,&quot;Height&quot;:9999999.0,&quot;Width&quot;:9999999.0,&quot;Placement&quot;:&quot;Footer&quot;,&quot;Index&quot;:&quot;Primary&quot;,&quot;Section&quot;:1,&quot;Top&quot;:0.0,&quot;Left&quot;:0.0}" style="position:absolute;left:0;text-align:left;margin-left:0;margin-top:0;width:612pt;height:34.8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024C52B2" w14:textId="4099D7BB" w:rsidR="000A13EE" w:rsidRPr="00C936A0" w:rsidRDefault="00C936A0" w:rsidP="00C936A0">
                    <w:pPr>
                      <w:spacing w:after="0"/>
                      <w:jc w:val="center"/>
                      <w:rPr>
                        <w:rFonts w:ascii="Arial" w:hAnsi="Arial" w:cs="Arial"/>
                        <w:color w:val="000000"/>
                        <w:sz w:val="24"/>
                      </w:rPr>
                    </w:pPr>
                    <w:r w:rsidRPr="00C936A0">
                      <w:rPr>
                        <w:rFonts w:ascii="Arial" w:hAnsi="Arial" w:cs="Arial"/>
                        <w:color w:val="000000"/>
                        <w:sz w:val="24"/>
                      </w:rPr>
                      <w:t>OFFICIAL</w:t>
                    </w:r>
                  </w:p>
                </w:txbxContent>
              </v:textbox>
              <w10:wrap anchorx="page" anchory="page"/>
            </v:shape>
          </w:pict>
        </mc:Fallback>
      </mc:AlternateContent>
    </w:r>
    <w:sdt>
      <w:sdtPr>
        <w:id w:val="17207928"/>
        <w:docPartObj>
          <w:docPartGallery w:val="Page Numbers (Bottom of Page)"/>
          <w:docPartUnique/>
        </w:docPartObj>
      </w:sdtPr>
      <w:sdtEndPr>
        <w:rPr>
          <w:noProof/>
        </w:rPr>
      </w:sdtEndPr>
      <w:sdtContent>
        <w:r w:rsidR="001A38D1">
          <w:fldChar w:fldCharType="begin"/>
        </w:r>
        <w:r w:rsidR="001A38D1">
          <w:instrText xml:space="preserve"> PAGE   \* MERGEFORMAT </w:instrText>
        </w:r>
        <w:r w:rsidR="001A38D1">
          <w:fldChar w:fldCharType="separate"/>
        </w:r>
        <w:r w:rsidR="001A38D1">
          <w:rPr>
            <w:noProof/>
          </w:rPr>
          <w:t>2</w:t>
        </w:r>
        <w:r w:rsidR="001A38D1">
          <w:rPr>
            <w:noProof/>
          </w:rPr>
          <w:fldChar w:fldCharType="end"/>
        </w:r>
      </w:sdtContent>
    </w:sdt>
  </w:p>
  <w:p w14:paraId="6BFAA0A2" w14:textId="4F2EC30E" w:rsidR="00350DBD" w:rsidRDefault="0035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C631" w14:textId="77777777" w:rsidR="005B57A7" w:rsidRDefault="005B57A7" w:rsidP="00350DBD">
      <w:pPr>
        <w:spacing w:after="0" w:line="240" w:lineRule="auto"/>
      </w:pPr>
      <w:r>
        <w:separator/>
      </w:r>
    </w:p>
  </w:footnote>
  <w:footnote w:type="continuationSeparator" w:id="0">
    <w:p w14:paraId="66921318" w14:textId="77777777" w:rsidR="005B57A7" w:rsidRDefault="005B57A7" w:rsidP="00350DBD">
      <w:pPr>
        <w:spacing w:after="0" w:line="240" w:lineRule="auto"/>
      </w:pPr>
      <w:r>
        <w:continuationSeparator/>
      </w:r>
    </w:p>
  </w:footnote>
  <w:footnote w:type="continuationNotice" w:id="1">
    <w:p w14:paraId="7390BD23" w14:textId="77777777" w:rsidR="005B57A7" w:rsidRDefault="005B5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3EBC" w14:textId="195F4782" w:rsidR="00350DBD" w:rsidRDefault="003F62F6">
    <w:pPr>
      <w:pStyle w:val="Header"/>
    </w:pPr>
    <w:r>
      <w:rPr>
        <w:noProof/>
      </w:rPr>
      <mc:AlternateContent>
        <mc:Choice Requires="wps">
          <w:drawing>
            <wp:anchor distT="0" distB="0" distL="114300" distR="114300" simplePos="0" relativeHeight="251658243" behindDoc="0" locked="0" layoutInCell="0" allowOverlap="1" wp14:anchorId="77470AA2" wp14:editId="0E932372">
              <wp:simplePos x="0" y="0"/>
              <wp:positionH relativeFrom="page">
                <wp:align>center</wp:align>
              </wp:positionH>
              <wp:positionV relativeFrom="page">
                <wp:align>top</wp:align>
              </wp:positionV>
              <wp:extent cx="7772400" cy="442595"/>
              <wp:effectExtent l="0" t="0" r="0" b="14605"/>
              <wp:wrapNone/>
              <wp:docPr id="6" name="Text Box 6"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F8A04" w14:textId="7486EC0C" w:rsidR="003F62F6" w:rsidRPr="003F62F6" w:rsidRDefault="003F62F6" w:rsidP="003F62F6">
                          <w:pPr>
                            <w:spacing w:after="0"/>
                            <w:jc w:val="center"/>
                            <w:rPr>
                              <w:rFonts w:ascii="Arial" w:hAnsi="Arial" w:cs="Arial"/>
                              <w:color w:val="000000"/>
                              <w:sz w:val="24"/>
                            </w:rPr>
                          </w:pPr>
                          <w:r w:rsidRPr="003F62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470AA2" id="_x0000_t202" coordsize="21600,21600" o:spt="202" path="m,l,21600r21600,l21600,xe">
              <v:stroke joinstyle="miter"/>
              <v:path gradientshapeok="t" o:connecttype="rect"/>
            </v:shapetype>
            <v:shape id="Text Box 6" o:spid="_x0000_s1027" type="#_x0000_t202" alt="{&quot;HashCode&quot;:352122633,&quot;Height&quot;:9999999.0,&quot;Width&quot;:9999999.0,&quot;Placement&quot;:&quot;Header&quot;,&quot;Index&quot;:&quot;Primary&quot;,&quot;Section&quot;:1,&quot;Top&quot;:0.0,&quot;Left&quot;:0.0}" style="position:absolute;margin-left:0;margin-top:0;width:612pt;height:34.8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65F8A04" w14:textId="7486EC0C" w:rsidR="003F62F6" w:rsidRPr="003F62F6" w:rsidRDefault="003F62F6" w:rsidP="003F62F6">
                    <w:pPr>
                      <w:spacing w:after="0"/>
                      <w:jc w:val="center"/>
                      <w:rPr>
                        <w:rFonts w:ascii="Arial" w:hAnsi="Arial" w:cs="Arial"/>
                        <w:color w:val="000000"/>
                        <w:sz w:val="24"/>
                      </w:rPr>
                    </w:pPr>
                    <w:r w:rsidRPr="003F62F6">
                      <w:rPr>
                        <w:rFonts w:ascii="Arial" w:hAnsi="Arial" w:cs="Arial"/>
                        <w:color w:val="000000"/>
                        <w:sz w:val="24"/>
                      </w:rPr>
                      <w:t>OFFICIAL</w:t>
                    </w:r>
                  </w:p>
                </w:txbxContent>
              </v:textbox>
              <w10:wrap anchorx="page" anchory="page"/>
            </v:shape>
          </w:pict>
        </mc:Fallback>
      </mc:AlternateContent>
    </w:r>
    <w:r w:rsidR="00350DBD">
      <w:rPr>
        <w:noProof/>
      </w:rPr>
      <mc:AlternateContent>
        <mc:Choice Requires="wps">
          <w:drawing>
            <wp:anchor distT="0" distB="0" distL="114300" distR="114300" simplePos="0" relativeHeight="251658241" behindDoc="0" locked="0" layoutInCell="0" allowOverlap="1" wp14:anchorId="212ADA15" wp14:editId="21321E9D">
              <wp:simplePos x="0" y="0"/>
              <wp:positionH relativeFrom="page">
                <wp:align>center</wp:align>
              </wp:positionH>
              <wp:positionV relativeFrom="page">
                <wp:align>top</wp:align>
              </wp:positionV>
              <wp:extent cx="7772400" cy="442595"/>
              <wp:effectExtent l="0" t="0" r="0" b="14605"/>
              <wp:wrapNone/>
              <wp:docPr id="4" name="Text Box 4"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3DBA3" w14:textId="101DC409" w:rsidR="00350DBD" w:rsidRPr="00C936A0" w:rsidRDefault="00C936A0" w:rsidP="00C936A0">
                          <w:pPr>
                            <w:spacing w:after="0"/>
                            <w:jc w:val="center"/>
                            <w:rPr>
                              <w:rFonts w:ascii="Arial" w:hAnsi="Arial" w:cs="Arial"/>
                              <w:color w:val="000000"/>
                              <w:sz w:val="24"/>
                            </w:rPr>
                          </w:pPr>
                          <w:r w:rsidRPr="00C936A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ADA15" id="Text Box 4" o:spid="_x0000_s1028" type="#_x0000_t202" alt="{&quot;HashCode&quot;:352122633,&quot;Height&quot;:9999999.0,&quot;Width&quot;:9999999.0,&quot;Placement&quot;:&quot;Header&quot;,&quot;Index&quot;:&quot;Primary&quot;,&quot;Section&quot;:1,&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51F3DBA3" w14:textId="101DC409" w:rsidR="00350DBD" w:rsidRPr="00C936A0" w:rsidRDefault="00C936A0" w:rsidP="00C936A0">
                    <w:pPr>
                      <w:spacing w:after="0"/>
                      <w:jc w:val="center"/>
                      <w:rPr>
                        <w:rFonts w:ascii="Arial" w:hAnsi="Arial" w:cs="Arial"/>
                        <w:color w:val="000000"/>
                        <w:sz w:val="24"/>
                      </w:rPr>
                    </w:pPr>
                    <w:r w:rsidRPr="00C936A0">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50E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A125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B2EA3"/>
    <w:multiLevelType w:val="hybridMultilevel"/>
    <w:tmpl w:val="8F5C41B6"/>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575A3"/>
    <w:multiLevelType w:val="hybridMultilevel"/>
    <w:tmpl w:val="68E0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A27BA"/>
    <w:multiLevelType w:val="hybridMultilevel"/>
    <w:tmpl w:val="8E5E3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3C009F"/>
    <w:multiLevelType w:val="hybridMultilevel"/>
    <w:tmpl w:val="0E68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C31FE"/>
    <w:multiLevelType w:val="hybridMultilevel"/>
    <w:tmpl w:val="561845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E744F1"/>
    <w:multiLevelType w:val="hybridMultilevel"/>
    <w:tmpl w:val="29D09E6C"/>
    <w:lvl w:ilvl="0" w:tplc="B5E47B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C7328"/>
    <w:multiLevelType w:val="hybridMultilevel"/>
    <w:tmpl w:val="52C4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71ED4"/>
    <w:multiLevelType w:val="hybridMultilevel"/>
    <w:tmpl w:val="68FCE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76609"/>
    <w:multiLevelType w:val="hybridMultilevel"/>
    <w:tmpl w:val="D9C8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B0297B"/>
    <w:multiLevelType w:val="hybridMultilevel"/>
    <w:tmpl w:val="09DE0670"/>
    <w:lvl w:ilvl="0" w:tplc="FFFFFFFF">
      <w:start w:val="1"/>
      <w:numFmt w:val="bullet"/>
      <w:lvlText w:val="•"/>
      <w:lvlJc w:val="left"/>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F754F3"/>
    <w:multiLevelType w:val="hybridMultilevel"/>
    <w:tmpl w:val="CC6AB432"/>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95DC6"/>
    <w:multiLevelType w:val="hybridMultilevel"/>
    <w:tmpl w:val="9812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A2342"/>
    <w:multiLevelType w:val="hybridMultilevel"/>
    <w:tmpl w:val="9CFCDB2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7D020F"/>
    <w:multiLevelType w:val="hybridMultilevel"/>
    <w:tmpl w:val="E3FA81A6"/>
    <w:lvl w:ilvl="0" w:tplc="C65E9334">
      <w:start w:val="1"/>
      <w:numFmt w:val="lowerLetter"/>
      <w:lvlText w:val="%1."/>
      <w:lvlJc w:val="left"/>
      <w:pPr>
        <w:ind w:left="720" w:hanging="360"/>
      </w:pPr>
      <w:rPr>
        <w:rFonts w:eastAsia="Calibri" w:hint="default"/>
      </w:rPr>
    </w:lvl>
    <w:lvl w:ilvl="1" w:tplc="421EF7FA">
      <w:start w:val="1"/>
      <w:numFmt w:val="bullet"/>
      <w:lvlText w:val=""/>
      <w:lvlJc w:val="left"/>
      <w:pPr>
        <w:ind w:left="1440" w:hanging="360"/>
      </w:pPr>
      <w:rPr>
        <w:rFonts w:ascii="Symbol" w:hAnsi="Symbol" w:hint="default"/>
        <w:color w:val="C9C9C9" w:themeColor="accent3" w:themeTint="99"/>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9F33D3"/>
    <w:multiLevelType w:val="hybridMultilevel"/>
    <w:tmpl w:val="63F8A49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8678F"/>
    <w:multiLevelType w:val="hybridMultilevel"/>
    <w:tmpl w:val="57FE3D52"/>
    <w:lvl w:ilvl="0" w:tplc="FFFFFFFF">
      <w:start w:val="1"/>
      <w:numFmt w:val="bullet"/>
      <w:lvlText w:val="•"/>
      <w:lvlJc w:val="left"/>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33072EA"/>
    <w:multiLevelType w:val="hybridMultilevel"/>
    <w:tmpl w:val="80D6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BC43F3"/>
    <w:multiLevelType w:val="hybridMultilevel"/>
    <w:tmpl w:val="E7CA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04B4E"/>
    <w:multiLevelType w:val="hybridMultilevel"/>
    <w:tmpl w:val="9F18EDCC"/>
    <w:lvl w:ilvl="0" w:tplc="51E4F8E6">
      <w:start w:val="1"/>
      <w:numFmt w:val="decimal"/>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EF7403"/>
    <w:multiLevelType w:val="hybridMultilevel"/>
    <w:tmpl w:val="15801DE6"/>
    <w:lvl w:ilvl="0" w:tplc="C65E9334">
      <w:start w:val="1"/>
      <w:numFmt w:val="lowerLetter"/>
      <w:lvlText w:val="%1."/>
      <w:lvlJc w:val="left"/>
      <w:pPr>
        <w:ind w:left="720" w:hanging="360"/>
      </w:pPr>
      <w:rPr>
        <w:rFonts w:eastAsia="Calibri" w:hint="default"/>
      </w:rPr>
    </w:lvl>
    <w:lvl w:ilvl="1" w:tplc="6850536A">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F2E29"/>
    <w:multiLevelType w:val="hybridMultilevel"/>
    <w:tmpl w:val="E7D0A5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82486D"/>
    <w:multiLevelType w:val="hybridMultilevel"/>
    <w:tmpl w:val="8554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5120C"/>
    <w:multiLevelType w:val="hybridMultilevel"/>
    <w:tmpl w:val="36D28EE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130A5"/>
    <w:multiLevelType w:val="hybridMultilevel"/>
    <w:tmpl w:val="C820F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342F4C"/>
    <w:multiLevelType w:val="hybridMultilevel"/>
    <w:tmpl w:val="66A65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1A6E2E"/>
    <w:multiLevelType w:val="hybridMultilevel"/>
    <w:tmpl w:val="6FB60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06184E"/>
    <w:multiLevelType w:val="hybridMultilevel"/>
    <w:tmpl w:val="40845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8C7379"/>
    <w:multiLevelType w:val="hybridMultilevel"/>
    <w:tmpl w:val="68FCEA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A96312"/>
    <w:multiLevelType w:val="hybridMultilevel"/>
    <w:tmpl w:val="F00EE8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7A2700C"/>
    <w:multiLevelType w:val="hybridMultilevel"/>
    <w:tmpl w:val="88A6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B04655"/>
    <w:multiLevelType w:val="hybridMultilevel"/>
    <w:tmpl w:val="C45A3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453C05"/>
    <w:multiLevelType w:val="hybridMultilevel"/>
    <w:tmpl w:val="BD74C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100927"/>
    <w:multiLevelType w:val="hybridMultilevel"/>
    <w:tmpl w:val="8EC0BCA6"/>
    <w:lvl w:ilvl="0" w:tplc="252688F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5C74F5"/>
    <w:multiLevelType w:val="hybridMultilevel"/>
    <w:tmpl w:val="7A56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561522598">
    <w:abstractNumId w:val="1"/>
  </w:num>
  <w:num w:numId="2" w16cid:durableId="716126999">
    <w:abstractNumId w:val="0"/>
  </w:num>
  <w:num w:numId="3" w16cid:durableId="552274437">
    <w:abstractNumId w:val="3"/>
  </w:num>
  <w:num w:numId="4" w16cid:durableId="1564020324">
    <w:abstractNumId w:val="25"/>
  </w:num>
  <w:num w:numId="5" w16cid:durableId="476386008">
    <w:abstractNumId w:val="11"/>
  </w:num>
  <w:num w:numId="6" w16cid:durableId="1240287377">
    <w:abstractNumId w:val="23"/>
  </w:num>
  <w:num w:numId="7" w16cid:durableId="905533381">
    <w:abstractNumId w:val="24"/>
  </w:num>
  <w:num w:numId="8" w16cid:durableId="1343971205">
    <w:abstractNumId w:val="12"/>
  </w:num>
  <w:num w:numId="9" w16cid:durableId="147789179">
    <w:abstractNumId w:val="26"/>
  </w:num>
  <w:num w:numId="10" w16cid:durableId="1885557970">
    <w:abstractNumId w:val="17"/>
  </w:num>
  <w:num w:numId="11" w16cid:durableId="97229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8510359">
    <w:abstractNumId w:val="21"/>
  </w:num>
  <w:num w:numId="13" w16cid:durableId="597180366">
    <w:abstractNumId w:val="27"/>
  </w:num>
  <w:num w:numId="14" w16cid:durableId="1414471047">
    <w:abstractNumId w:val="5"/>
  </w:num>
  <w:num w:numId="15" w16cid:durableId="371614290">
    <w:abstractNumId w:val="20"/>
  </w:num>
  <w:num w:numId="16" w16cid:durableId="109053705">
    <w:abstractNumId w:val="22"/>
  </w:num>
  <w:num w:numId="17" w16cid:durableId="77098853">
    <w:abstractNumId w:val="15"/>
  </w:num>
  <w:num w:numId="18" w16cid:durableId="2045279484">
    <w:abstractNumId w:val="39"/>
  </w:num>
  <w:num w:numId="19" w16cid:durableId="476150055">
    <w:abstractNumId w:val="10"/>
  </w:num>
  <w:num w:numId="20" w16cid:durableId="578713770">
    <w:abstractNumId w:val="19"/>
  </w:num>
  <w:num w:numId="21" w16cid:durableId="814373245">
    <w:abstractNumId w:val="33"/>
  </w:num>
  <w:num w:numId="22" w16cid:durableId="1258754916">
    <w:abstractNumId w:val="29"/>
  </w:num>
  <w:num w:numId="23" w16cid:durableId="1445231306">
    <w:abstractNumId w:val="35"/>
  </w:num>
  <w:num w:numId="24" w16cid:durableId="271516598">
    <w:abstractNumId w:val="7"/>
  </w:num>
  <w:num w:numId="25" w16cid:durableId="1110466474">
    <w:abstractNumId w:val="37"/>
  </w:num>
  <w:num w:numId="26" w16cid:durableId="1889679974">
    <w:abstractNumId w:val="8"/>
  </w:num>
  <w:num w:numId="27" w16cid:durableId="1174607341">
    <w:abstractNumId w:val="34"/>
  </w:num>
  <w:num w:numId="28" w16cid:durableId="819811546">
    <w:abstractNumId w:val="4"/>
  </w:num>
  <w:num w:numId="29" w16cid:durableId="1623534667">
    <w:abstractNumId w:val="36"/>
  </w:num>
  <w:num w:numId="30" w16cid:durableId="260114939">
    <w:abstractNumId w:val="13"/>
  </w:num>
  <w:num w:numId="31" w16cid:durableId="1716193372">
    <w:abstractNumId w:val="30"/>
  </w:num>
  <w:num w:numId="32" w16cid:durableId="713650819">
    <w:abstractNumId w:val="32"/>
  </w:num>
  <w:num w:numId="33" w16cid:durableId="1681159872">
    <w:abstractNumId w:val="9"/>
  </w:num>
  <w:num w:numId="34" w16cid:durableId="1398238756">
    <w:abstractNumId w:val="14"/>
  </w:num>
  <w:num w:numId="35" w16cid:durableId="1966234978">
    <w:abstractNumId w:val="16"/>
  </w:num>
  <w:num w:numId="36" w16cid:durableId="1141458445">
    <w:abstractNumId w:val="18"/>
  </w:num>
  <w:num w:numId="37" w16cid:durableId="664087894">
    <w:abstractNumId w:val="38"/>
  </w:num>
  <w:num w:numId="38" w16cid:durableId="673531117">
    <w:abstractNumId w:val="6"/>
  </w:num>
  <w:num w:numId="39" w16cid:durableId="1413162381">
    <w:abstractNumId w:val="2"/>
  </w:num>
  <w:num w:numId="40" w16cid:durableId="9739439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4D"/>
    <w:rsid w:val="00006232"/>
    <w:rsid w:val="00023759"/>
    <w:rsid w:val="00030A42"/>
    <w:rsid w:val="000315B8"/>
    <w:rsid w:val="00033AAF"/>
    <w:rsid w:val="000421CE"/>
    <w:rsid w:val="00042957"/>
    <w:rsid w:val="00046AD0"/>
    <w:rsid w:val="0005355B"/>
    <w:rsid w:val="000540B1"/>
    <w:rsid w:val="00055B9A"/>
    <w:rsid w:val="0005624A"/>
    <w:rsid w:val="00070C69"/>
    <w:rsid w:val="00075435"/>
    <w:rsid w:val="00077162"/>
    <w:rsid w:val="000803A6"/>
    <w:rsid w:val="0008251D"/>
    <w:rsid w:val="000917BD"/>
    <w:rsid w:val="000954D8"/>
    <w:rsid w:val="000A13EE"/>
    <w:rsid w:val="000A1919"/>
    <w:rsid w:val="000A27A3"/>
    <w:rsid w:val="000A3900"/>
    <w:rsid w:val="000A3912"/>
    <w:rsid w:val="000A5787"/>
    <w:rsid w:val="000A7AB3"/>
    <w:rsid w:val="000B06AC"/>
    <w:rsid w:val="000B4D2B"/>
    <w:rsid w:val="000B5F94"/>
    <w:rsid w:val="000B64C2"/>
    <w:rsid w:val="000C0793"/>
    <w:rsid w:val="000C45D6"/>
    <w:rsid w:val="000C4A5C"/>
    <w:rsid w:val="000C68F0"/>
    <w:rsid w:val="000D06AC"/>
    <w:rsid w:val="000D2241"/>
    <w:rsid w:val="000D32BB"/>
    <w:rsid w:val="000D509F"/>
    <w:rsid w:val="000D7862"/>
    <w:rsid w:val="000E2895"/>
    <w:rsid w:val="000E586C"/>
    <w:rsid w:val="000E7BB0"/>
    <w:rsid w:val="000E7C93"/>
    <w:rsid w:val="000F49C3"/>
    <w:rsid w:val="00103588"/>
    <w:rsid w:val="00105930"/>
    <w:rsid w:val="00106D7D"/>
    <w:rsid w:val="00107069"/>
    <w:rsid w:val="0011293C"/>
    <w:rsid w:val="00112A6B"/>
    <w:rsid w:val="00115D62"/>
    <w:rsid w:val="00120232"/>
    <w:rsid w:val="00124469"/>
    <w:rsid w:val="00124553"/>
    <w:rsid w:val="00132BEB"/>
    <w:rsid w:val="001332E4"/>
    <w:rsid w:val="00134526"/>
    <w:rsid w:val="00143362"/>
    <w:rsid w:val="001524A2"/>
    <w:rsid w:val="001601E7"/>
    <w:rsid w:val="00167545"/>
    <w:rsid w:val="00174E72"/>
    <w:rsid w:val="00190056"/>
    <w:rsid w:val="001923BB"/>
    <w:rsid w:val="00193AC1"/>
    <w:rsid w:val="00194102"/>
    <w:rsid w:val="00194CFD"/>
    <w:rsid w:val="001A0084"/>
    <w:rsid w:val="001A0ACC"/>
    <w:rsid w:val="001A38D1"/>
    <w:rsid w:val="001B0698"/>
    <w:rsid w:val="001B72CE"/>
    <w:rsid w:val="001C454F"/>
    <w:rsid w:val="001E6D50"/>
    <w:rsid w:val="001E6F6E"/>
    <w:rsid w:val="00202807"/>
    <w:rsid w:val="002045D7"/>
    <w:rsid w:val="00206148"/>
    <w:rsid w:val="00206D9D"/>
    <w:rsid w:val="00210B77"/>
    <w:rsid w:val="00211E0B"/>
    <w:rsid w:val="00214FF3"/>
    <w:rsid w:val="00215B5A"/>
    <w:rsid w:val="00220605"/>
    <w:rsid w:val="002463D2"/>
    <w:rsid w:val="0025085A"/>
    <w:rsid w:val="0025656E"/>
    <w:rsid w:val="00261BAB"/>
    <w:rsid w:val="00270521"/>
    <w:rsid w:val="00273915"/>
    <w:rsid w:val="0028173E"/>
    <w:rsid w:val="00285DAB"/>
    <w:rsid w:val="00290835"/>
    <w:rsid w:val="002912C7"/>
    <w:rsid w:val="0029545E"/>
    <w:rsid w:val="00296845"/>
    <w:rsid w:val="002B74D8"/>
    <w:rsid w:val="002C2461"/>
    <w:rsid w:val="002C3B4B"/>
    <w:rsid w:val="002C69E8"/>
    <w:rsid w:val="002C7067"/>
    <w:rsid w:val="002C7C37"/>
    <w:rsid w:val="002D043E"/>
    <w:rsid w:val="002D593F"/>
    <w:rsid w:val="002E3DB8"/>
    <w:rsid w:val="002E64F9"/>
    <w:rsid w:val="002F5E75"/>
    <w:rsid w:val="002F6D55"/>
    <w:rsid w:val="002F7A33"/>
    <w:rsid w:val="003132C1"/>
    <w:rsid w:val="00323D74"/>
    <w:rsid w:val="00324C71"/>
    <w:rsid w:val="003353F5"/>
    <w:rsid w:val="0033584B"/>
    <w:rsid w:val="00343350"/>
    <w:rsid w:val="00346BBB"/>
    <w:rsid w:val="00350DBD"/>
    <w:rsid w:val="00355A71"/>
    <w:rsid w:val="0035788F"/>
    <w:rsid w:val="00363338"/>
    <w:rsid w:val="00390668"/>
    <w:rsid w:val="00392FB5"/>
    <w:rsid w:val="003943E8"/>
    <w:rsid w:val="0039477C"/>
    <w:rsid w:val="003B0465"/>
    <w:rsid w:val="003B2C84"/>
    <w:rsid w:val="003C2986"/>
    <w:rsid w:val="003C71E8"/>
    <w:rsid w:val="003C7E7A"/>
    <w:rsid w:val="003D3157"/>
    <w:rsid w:val="003D4D9D"/>
    <w:rsid w:val="003D7687"/>
    <w:rsid w:val="003E0A5E"/>
    <w:rsid w:val="003E542B"/>
    <w:rsid w:val="003E55F0"/>
    <w:rsid w:val="003F0E38"/>
    <w:rsid w:val="003F2123"/>
    <w:rsid w:val="003F62F6"/>
    <w:rsid w:val="003F6610"/>
    <w:rsid w:val="00400A69"/>
    <w:rsid w:val="0040104A"/>
    <w:rsid w:val="00412816"/>
    <w:rsid w:val="004329CA"/>
    <w:rsid w:val="004341F9"/>
    <w:rsid w:val="00435C1F"/>
    <w:rsid w:val="00440FB3"/>
    <w:rsid w:val="00447D11"/>
    <w:rsid w:val="004516F6"/>
    <w:rsid w:val="004552E5"/>
    <w:rsid w:val="00455948"/>
    <w:rsid w:val="00466D13"/>
    <w:rsid w:val="00466F16"/>
    <w:rsid w:val="00470CEF"/>
    <w:rsid w:val="004829D8"/>
    <w:rsid w:val="00485141"/>
    <w:rsid w:val="00485A28"/>
    <w:rsid w:val="00492A99"/>
    <w:rsid w:val="00496A0E"/>
    <w:rsid w:val="004A060D"/>
    <w:rsid w:val="004A3B51"/>
    <w:rsid w:val="004A5EBA"/>
    <w:rsid w:val="004A60C2"/>
    <w:rsid w:val="004B2D66"/>
    <w:rsid w:val="004B3CF1"/>
    <w:rsid w:val="004B5D3A"/>
    <w:rsid w:val="004D5EB4"/>
    <w:rsid w:val="004D5EBB"/>
    <w:rsid w:val="004D672A"/>
    <w:rsid w:val="004D7E57"/>
    <w:rsid w:val="005031BE"/>
    <w:rsid w:val="00505FC7"/>
    <w:rsid w:val="0050681D"/>
    <w:rsid w:val="005077D8"/>
    <w:rsid w:val="005107FF"/>
    <w:rsid w:val="00513B7B"/>
    <w:rsid w:val="00524E08"/>
    <w:rsid w:val="005321C9"/>
    <w:rsid w:val="00540B98"/>
    <w:rsid w:val="005411F9"/>
    <w:rsid w:val="00544AA4"/>
    <w:rsid w:val="005518D9"/>
    <w:rsid w:val="00553D4B"/>
    <w:rsid w:val="00555FAC"/>
    <w:rsid w:val="005600B8"/>
    <w:rsid w:val="00560D1A"/>
    <w:rsid w:val="0056176A"/>
    <w:rsid w:val="00566C7F"/>
    <w:rsid w:val="00573C28"/>
    <w:rsid w:val="005758FC"/>
    <w:rsid w:val="00577A8B"/>
    <w:rsid w:val="00584BED"/>
    <w:rsid w:val="005B0F84"/>
    <w:rsid w:val="005B1F4E"/>
    <w:rsid w:val="005B57A7"/>
    <w:rsid w:val="005B690E"/>
    <w:rsid w:val="005C55E2"/>
    <w:rsid w:val="005C6F0C"/>
    <w:rsid w:val="005D0681"/>
    <w:rsid w:val="005D4196"/>
    <w:rsid w:val="005D6143"/>
    <w:rsid w:val="005D7EE9"/>
    <w:rsid w:val="005E04D9"/>
    <w:rsid w:val="005F0477"/>
    <w:rsid w:val="005F07F1"/>
    <w:rsid w:val="005F60FC"/>
    <w:rsid w:val="00607FAE"/>
    <w:rsid w:val="00610B73"/>
    <w:rsid w:val="00611481"/>
    <w:rsid w:val="00611C0E"/>
    <w:rsid w:val="00621FA0"/>
    <w:rsid w:val="006302FB"/>
    <w:rsid w:val="00641580"/>
    <w:rsid w:val="00643168"/>
    <w:rsid w:val="0065410E"/>
    <w:rsid w:val="0066191A"/>
    <w:rsid w:val="00663D2C"/>
    <w:rsid w:val="0066478F"/>
    <w:rsid w:val="00670E19"/>
    <w:rsid w:val="0067365D"/>
    <w:rsid w:val="00676BAE"/>
    <w:rsid w:val="006777BC"/>
    <w:rsid w:val="0067784D"/>
    <w:rsid w:val="00677A8B"/>
    <w:rsid w:val="00683450"/>
    <w:rsid w:val="00687A26"/>
    <w:rsid w:val="00693A4A"/>
    <w:rsid w:val="006973BA"/>
    <w:rsid w:val="006A0124"/>
    <w:rsid w:val="006A069E"/>
    <w:rsid w:val="006A1FE9"/>
    <w:rsid w:val="006A5FE1"/>
    <w:rsid w:val="006A6A80"/>
    <w:rsid w:val="006A7FC6"/>
    <w:rsid w:val="006B7714"/>
    <w:rsid w:val="006C0127"/>
    <w:rsid w:val="006C02FD"/>
    <w:rsid w:val="006C3365"/>
    <w:rsid w:val="006D581B"/>
    <w:rsid w:val="006D5CFA"/>
    <w:rsid w:val="006D5DCD"/>
    <w:rsid w:val="006E4468"/>
    <w:rsid w:val="006E4F75"/>
    <w:rsid w:val="006F3346"/>
    <w:rsid w:val="006F56DC"/>
    <w:rsid w:val="00701E9F"/>
    <w:rsid w:val="00702105"/>
    <w:rsid w:val="00716A86"/>
    <w:rsid w:val="00723F7F"/>
    <w:rsid w:val="00732597"/>
    <w:rsid w:val="00732A43"/>
    <w:rsid w:val="00733017"/>
    <w:rsid w:val="007415DB"/>
    <w:rsid w:val="00746396"/>
    <w:rsid w:val="00751546"/>
    <w:rsid w:val="007756B3"/>
    <w:rsid w:val="00777F67"/>
    <w:rsid w:val="00784916"/>
    <w:rsid w:val="00790936"/>
    <w:rsid w:val="00792487"/>
    <w:rsid w:val="007A1B7D"/>
    <w:rsid w:val="007B0784"/>
    <w:rsid w:val="007B259B"/>
    <w:rsid w:val="007B7F3E"/>
    <w:rsid w:val="007C1D0C"/>
    <w:rsid w:val="007C24C2"/>
    <w:rsid w:val="007D2C29"/>
    <w:rsid w:val="007D7948"/>
    <w:rsid w:val="007E0C16"/>
    <w:rsid w:val="007E23ED"/>
    <w:rsid w:val="007E2E00"/>
    <w:rsid w:val="007E67C4"/>
    <w:rsid w:val="007F1514"/>
    <w:rsid w:val="00805CA6"/>
    <w:rsid w:val="008073F9"/>
    <w:rsid w:val="008122BD"/>
    <w:rsid w:val="00813DDB"/>
    <w:rsid w:val="00817EE7"/>
    <w:rsid w:val="00820243"/>
    <w:rsid w:val="00827D38"/>
    <w:rsid w:val="00833D6F"/>
    <w:rsid w:val="00844C15"/>
    <w:rsid w:val="00844E1F"/>
    <w:rsid w:val="00850FB2"/>
    <w:rsid w:val="00851540"/>
    <w:rsid w:val="00851D3F"/>
    <w:rsid w:val="00857AA9"/>
    <w:rsid w:val="00863E35"/>
    <w:rsid w:val="00884560"/>
    <w:rsid w:val="008848D1"/>
    <w:rsid w:val="00892D8A"/>
    <w:rsid w:val="00893AF4"/>
    <w:rsid w:val="008A48FC"/>
    <w:rsid w:val="008B2627"/>
    <w:rsid w:val="008B3AD3"/>
    <w:rsid w:val="008B7AB2"/>
    <w:rsid w:val="008C03FF"/>
    <w:rsid w:val="008C680E"/>
    <w:rsid w:val="008E32D0"/>
    <w:rsid w:val="008F5891"/>
    <w:rsid w:val="008F77EA"/>
    <w:rsid w:val="00913190"/>
    <w:rsid w:val="00915A50"/>
    <w:rsid w:val="00917495"/>
    <w:rsid w:val="00921D82"/>
    <w:rsid w:val="009266C9"/>
    <w:rsid w:val="00931E96"/>
    <w:rsid w:val="009363F1"/>
    <w:rsid w:val="0094347C"/>
    <w:rsid w:val="00945CF1"/>
    <w:rsid w:val="00945D5D"/>
    <w:rsid w:val="00951CC0"/>
    <w:rsid w:val="00952FD4"/>
    <w:rsid w:val="0095303C"/>
    <w:rsid w:val="00953636"/>
    <w:rsid w:val="009575B8"/>
    <w:rsid w:val="00960739"/>
    <w:rsid w:val="009629D4"/>
    <w:rsid w:val="00965CF4"/>
    <w:rsid w:val="00966DFB"/>
    <w:rsid w:val="00971931"/>
    <w:rsid w:val="00974B5C"/>
    <w:rsid w:val="00984BFA"/>
    <w:rsid w:val="00986E85"/>
    <w:rsid w:val="00990A22"/>
    <w:rsid w:val="0099287E"/>
    <w:rsid w:val="00995631"/>
    <w:rsid w:val="009A2BE2"/>
    <w:rsid w:val="009A442F"/>
    <w:rsid w:val="009A6BBF"/>
    <w:rsid w:val="009B1BDA"/>
    <w:rsid w:val="009B240E"/>
    <w:rsid w:val="009C0A74"/>
    <w:rsid w:val="009C1AF9"/>
    <w:rsid w:val="009C3B0E"/>
    <w:rsid w:val="009C4CA0"/>
    <w:rsid w:val="009C4F64"/>
    <w:rsid w:val="009D2AE0"/>
    <w:rsid w:val="009E06D7"/>
    <w:rsid w:val="009F4F19"/>
    <w:rsid w:val="009F50AE"/>
    <w:rsid w:val="00A02A4E"/>
    <w:rsid w:val="00A0400C"/>
    <w:rsid w:val="00A07635"/>
    <w:rsid w:val="00A10416"/>
    <w:rsid w:val="00A275E6"/>
    <w:rsid w:val="00A349FA"/>
    <w:rsid w:val="00A3653C"/>
    <w:rsid w:val="00A42443"/>
    <w:rsid w:val="00A43158"/>
    <w:rsid w:val="00A45640"/>
    <w:rsid w:val="00A47861"/>
    <w:rsid w:val="00A5421E"/>
    <w:rsid w:val="00A56CF4"/>
    <w:rsid w:val="00A578EE"/>
    <w:rsid w:val="00A60661"/>
    <w:rsid w:val="00A6333F"/>
    <w:rsid w:val="00A677FC"/>
    <w:rsid w:val="00A712CE"/>
    <w:rsid w:val="00A716AF"/>
    <w:rsid w:val="00A81CC9"/>
    <w:rsid w:val="00A95E6F"/>
    <w:rsid w:val="00AA3336"/>
    <w:rsid w:val="00AA3EDA"/>
    <w:rsid w:val="00AA44F5"/>
    <w:rsid w:val="00AA5783"/>
    <w:rsid w:val="00AB58A1"/>
    <w:rsid w:val="00AC0D5F"/>
    <w:rsid w:val="00AC4A31"/>
    <w:rsid w:val="00AC5567"/>
    <w:rsid w:val="00AC55C6"/>
    <w:rsid w:val="00AD2C08"/>
    <w:rsid w:val="00AD2C24"/>
    <w:rsid w:val="00AD4418"/>
    <w:rsid w:val="00AD6353"/>
    <w:rsid w:val="00AE3FAE"/>
    <w:rsid w:val="00AE4F71"/>
    <w:rsid w:val="00AF09F6"/>
    <w:rsid w:val="00AF4D5E"/>
    <w:rsid w:val="00B00369"/>
    <w:rsid w:val="00B01F9F"/>
    <w:rsid w:val="00B02E37"/>
    <w:rsid w:val="00B06803"/>
    <w:rsid w:val="00B17CD7"/>
    <w:rsid w:val="00B22EE1"/>
    <w:rsid w:val="00B24FD7"/>
    <w:rsid w:val="00B2743B"/>
    <w:rsid w:val="00B3788F"/>
    <w:rsid w:val="00B40B59"/>
    <w:rsid w:val="00B410CF"/>
    <w:rsid w:val="00B528AE"/>
    <w:rsid w:val="00B53247"/>
    <w:rsid w:val="00B55AC8"/>
    <w:rsid w:val="00B625BA"/>
    <w:rsid w:val="00B7061E"/>
    <w:rsid w:val="00B712E8"/>
    <w:rsid w:val="00B71343"/>
    <w:rsid w:val="00B7489B"/>
    <w:rsid w:val="00B77441"/>
    <w:rsid w:val="00B80380"/>
    <w:rsid w:val="00B836A0"/>
    <w:rsid w:val="00B96131"/>
    <w:rsid w:val="00BA4E2C"/>
    <w:rsid w:val="00BB1B72"/>
    <w:rsid w:val="00BD7325"/>
    <w:rsid w:val="00BE609A"/>
    <w:rsid w:val="00BE70F6"/>
    <w:rsid w:val="00BF2ED1"/>
    <w:rsid w:val="00BF5267"/>
    <w:rsid w:val="00BF6BD3"/>
    <w:rsid w:val="00C00006"/>
    <w:rsid w:val="00C05F80"/>
    <w:rsid w:val="00C11BD4"/>
    <w:rsid w:val="00C26648"/>
    <w:rsid w:val="00C30147"/>
    <w:rsid w:val="00C36C5C"/>
    <w:rsid w:val="00C41927"/>
    <w:rsid w:val="00C47C41"/>
    <w:rsid w:val="00C55379"/>
    <w:rsid w:val="00C55A97"/>
    <w:rsid w:val="00C561DB"/>
    <w:rsid w:val="00C61873"/>
    <w:rsid w:val="00C71B72"/>
    <w:rsid w:val="00C7264A"/>
    <w:rsid w:val="00C72E29"/>
    <w:rsid w:val="00C77C37"/>
    <w:rsid w:val="00C81DAE"/>
    <w:rsid w:val="00C936A0"/>
    <w:rsid w:val="00C957A7"/>
    <w:rsid w:val="00C95F4D"/>
    <w:rsid w:val="00CA40A9"/>
    <w:rsid w:val="00CA7DF3"/>
    <w:rsid w:val="00CB2897"/>
    <w:rsid w:val="00CB4311"/>
    <w:rsid w:val="00CB5D8C"/>
    <w:rsid w:val="00CC146C"/>
    <w:rsid w:val="00CC2B7F"/>
    <w:rsid w:val="00CC37F8"/>
    <w:rsid w:val="00CC42A0"/>
    <w:rsid w:val="00CD16B0"/>
    <w:rsid w:val="00CD7B45"/>
    <w:rsid w:val="00CE7ABE"/>
    <w:rsid w:val="00CF1110"/>
    <w:rsid w:val="00CF2308"/>
    <w:rsid w:val="00CF6DFD"/>
    <w:rsid w:val="00D05A60"/>
    <w:rsid w:val="00D13602"/>
    <w:rsid w:val="00D235FE"/>
    <w:rsid w:val="00D24344"/>
    <w:rsid w:val="00D300F5"/>
    <w:rsid w:val="00D41B3B"/>
    <w:rsid w:val="00D45674"/>
    <w:rsid w:val="00D566E0"/>
    <w:rsid w:val="00D6102C"/>
    <w:rsid w:val="00D66D1E"/>
    <w:rsid w:val="00D8038F"/>
    <w:rsid w:val="00D8236C"/>
    <w:rsid w:val="00D92052"/>
    <w:rsid w:val="00D944B7"/>
    <w:rsid w:val="00D9537D"/>
    <w:rsid w:val="00D95BDF"/>
    <w:rsid w:val="00DA1C53"/>
    <w:rsid w:val="00DA4D59"/>
    <w:rsid w:val="00DA7436"/>
    <w:rsid w:val="00DC7CE9"/>
    <w:rsid w:val="00DD0540"/>
    <w:rsid w:val="00DE0286"/>
    <w:rsid w:val="00DE06CF"/>
    <w:rsid w:val="00DE4218"/>
    <w:rsid w:val="00DE4D28"/>
    <w:rsid w:val="00DF3FFD"/>
    <w:rsid w:val="00E02092"/>
    <w:rsid w:val="00E03515"/>
    <w:rsid w:val="00E12C84"/>
    <w:rsid w:val="00E149BE"/>
    <w:rsid w:val="00E20B97"/>
    <w:rsid w:val="00E2290B"/>
    <w:rsid w:val="00E22C63"/>
    <w:rsid w:val="00E23E27"/>
    <w:rsid w:val="00E41B74"/>
    <w:rsid w:val="00E41E07"/>
    <w:rsid w:val="00E443E0"/>
    <w:rsid w:val="00E53558"/>
    <w:rsid w:val="00E61EC4"/>
    <w:rsid w:val="00E626B9"/>
    <w:rsid w:val="00E6679C"/>
    <w:rsid w:val="00E73F58"/>
    <w:rsid w:val="00E80A2F"/>
    <w:rsid w:val="00E93742"/>
    <w:rsid w:val="00EA375B"/>
    <w:rsid w:val="00EB028E"/>
    <w:rsid w:val="00EB175A"/>
    <w:rsid w:val="00EB3AE1"/>
    <w:rsid w:val="00EB6234"/>
    <w:rsid w:val="00EC278C"/>
    <w:rsid w:val="00EC4795"/>
    <w:rsid w:val="00EC6BAF"/>
    <w:rsid w:val="00ED0E33"/>
    <w:rsid w:val="00EE0625"/>
    <w:rsid w:val="00EF275B"/>
    <w:rsid w:val="00EF4BB1"/>
    <w:rsid w:val="00F01838"/>
    <w:rsid w:val="00F0191A"/>
    <w:rsid w:val="00F044A5"/>
    <w:rsid w:val="00F05663"/>
    <w:rsid w:val="00F2024B"/>
    <w:rsid w:val="00F32B25"/>
    <w:rsid w:val="00F35D2E"/>
    <w:rsid w:val="00F36E04"/>
    <w:rsid w:val="00F435A6"/>
    <w:rsid w:val="00F447BA"/>
    <w:rsid w:val="00F55EF6"/>
    <w:rsid w:val="00F57478"/>
    <w:rsid w:val="00F70FFF"/>
    <w:rsid w:val="00F86E36"/>
    <w:rsid w:val="00F90078"/>
    <w:rsid w:val="00F94364"/>
    <w:rsid w:val="00F97A44"/>
    <w:rsid w:val="00FA0FA0"/>
    <w:rsid w:val="00FA7828"/>
    <w:rsid w:val="00FB5304"/>
    <w:rsid w:val="00FB536B"/>
    <w:rsid w:val="00FB57A6"/>
    <w:rsid w:val="00FB59CE"/>
    <w:rsid w:val="00FB6DFF"/>
    <w:rsid w:val="00FB76A0"/>
    <w:rsid w:val="00FC0AB8"/>
    <w:rsid w:val="00FC557E"/>
    <w:rsid w:val="00FC7349"/>
    <w:rsid w:val="00FD704B"/>
    <w:rsid w:val="00FE30F2"/>
    <w:rsid w:val="00FE79A9"/>
    <w:rsid w:val="00FF5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A757"/>
  <w15:chartTrackingRefBased/>
  <w15:docId w15:val="{6FABC3D1-C291-45DA-826F-3EB7BE4C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56"/>
    <w:pPr>
      <w:spacing w:after="240"/>
    </w:pPr>
  </w:style>
  <w:style w:type="paragraph" w:styleId="Heading1">
    <w:name w:val="heading 1"/>
    <w:basedOn w:val="Normal"/>
    <w:next w:val="Normal"/>
    <w:link w:val="Heading1Char"/>
    <w:uiPriority w:val="9"/>
    <w:qFormat/>
    <w:rsid w:val="00190056"/>
    <w:pPr>
      <w:keepNext/>
      <w:keepLines/>
      <w:spacing w:before="320" w:line="240" w:lineRule="auto"/>
      <w:outlineLvl w:val="0"/>
    </w:pPr>
    <w:rPr>
      <w:rFonts w:ascii="Calibri" w:eastAsiaTheme="majorEastAsia" w:hAnsi="Calibri" w:cstheme="majorBidi"/>
      <w:color w:val="000070"/>
      <w:sz w:val="44"/>
      <w:szCs w:val="32"/>
    </w:rPr>
  </w:style>
  <w:style w:type="paragraph" w:styleId="Heading2">
    <w:name w:val="heading 2"/>
    <w:basedOn w:val="Normal"/>
    <w:next w:val="Normal"/>
    <w:link w:val="Heading2Char"/>
    <w:uiPriority w:val="9"/>
    <w:unhideWhenUsed/>
    <w:qFormat/>
    <w:rsid w:val="0067784D"/>
    <w:pPr>
      <w:keepNext/>
      <w:keepLines/>
      <w:spacing w:before="80" w:after="0" w:line="240" w:lineRule="auto"/>
      <w:outlineLvl w:val="1"/>
    </w:pPr>
    <w:rPr>
      <w:rFonts w:ascii="Calibri" w:eastAsiaTheme="majorEastAsia" w:hAnsi="Calibri" w:cstheme="majorBidi"/>
      <w:color w:val="50830B"/>
      <w:sz w:val="36"/>
      <w:szCs w:val="28"/>
    </w:rPr>
  </w:style>
  <w:style w:type="paragraph" w:styleId="Heading3">
    <w:name w:val="heading 3"/>
    <w:basedOn w:val="Normal"/>
    <w:next w:val="Normal"/>
    <w:link w:val="Heading3Char"/>
    <w:uiPriority w:val="9"/>
    <w:unhideWhenUsed/>
    <w:qFormat/>
    <w:rsid w:val="00190056"/>
    <w:pPr>
      <w:keepNext/>
      <w:keepLines/>
      <w:spacing w:before="40" w:after="120"/>
      <w:outlineLvl w:val="2"/>
    </w:pPr>
    <w:rPr>
      <w:rFonts w:ascii="Calibri" w:eastAsiaTheme="majorEastAsia" w:hAnsi="Calibri"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190056"/>
    <w:pPr>
      <w:keepNext/>
      <w:keepLines/>
      <w:spacing w:before="40" w:after="0"/>
      <w:outlineLvl w:val="3"/>
    </w:pPr>
    <w:rPr>
      <w:rFonts w:ascii="Calibri" w:eastAsiaTheme="majorEastAsia" w:hAnsi="Calibri" w:cstheme="majorBidi"/>
      <w:b/>
      <w:iCs/>
      <w:color w:val="538135" w:themeColor="accent6" w:themeShade="BF"/>
      <w:sz w:val="24"/>
    </w:rPr>
  </w:style>
  <w:style w:type="paragraph" w:styleId="Heading5">
    <w:name w:val="heading 5"/>
    <w:basedOn w:val="Normal"/>
    <w:next w:val="Normal"/>
    <w:link w:val="Heading5Char"/>
    <w:uiPriority w:val="9"/>
    <w:unhideWhenUsed/>
    <w:qFormat/>
    <w:rsid w:val="006777BC"/>
    <w:pPr>
      <w:keepNext/>
      <w:keepLines/>
      <w:spacing w:before="40" w:after="120"/>
      <w:outlineLvl w:val="4"/>
    </w:pPr>
    <w:rPr>
      <w:rFonts w:ascii="Calibri" w:eastAsiaTheme="majorEastAsia" w:hAnsi="Calibri"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8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67784D"/>
    <w:pPr>
      <w:ind w:left="720"/>
      <w:contextualSpacing/>
    </w:pPr>
  </w:style>
  <w:style w:type="character" w:customStyle="1" w:styleId="Heading1Char">
    <w:name w:val="Heading 1 Char"/>
    <w:basedOn w:val="DefaultParagraphFont"/>
    <w:link w:val="Heading1"/>
    <w:uiPriority w:val="9"/>
    <w:rsid w:val="00190056"/>
    <w:rPr>
      <w:rFonts w:ascii="Calibri" w:eastAsiaTheme="majorEastAsia" w:hAnsi="Calibri" w:cstheme="majorBidi"/>
      <w:color w:val="000070"/>
      <w:sz w:val="44"/>
      <w:szCs w:val="32"/>
    </w:rPr>
  </w:style>
  <w:style w:type="character" w:customStyle="1" w:styleId="Heading2Char">
    <w:name w:val="Heading 2 Char"/>
    <w:basedOn w:val="DefaultParagraphFont"/>
    <w:link w:val="Heading2"/>
    <w:uiPriority w:val="9"/>
    <w:rsid w:val="0067784D"/>
    <w:rPr>
      <w:rFonts w:ascii="Calibri" w:eastAsiaTheme="majorEastAsia" w:hAnsi="Calibri" w:cstheme="majorBidi"/>
      <w:color w:val="50830B"/>
      <w:sz w:val="36"/>
      <w:szCs w:val="28"/>
    </w:rPr>
  </w:style>
  <w:style w:type="paragraph" w:styleId="NormalWeb">
    <w:name w:val="Normal (Web)"/>
    <w:basedOn w:val="Normal"/>
    <w:uiPriority w:val="99"/>
    <w:unhideWhenUsed/>
    <w:rsid w:val="006778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basedOn w:val="DefaultParagraphFont"/>
    <w:link w:val="ListParagraph"/>
    <w:uiPriority w:val="34"/>
    <w:locked/>
    <w:rsid w:val="00566C7F"/>
  </w:style>
  <w:style w:type="paragraph" w:styleId="Header">
    <w:name w:val="header"/>
    <w:basedOn w:val="Normal"/>
    <w:link w:val="HeaderChar"/>
    <w:uiPriority w:val="99"/>
    <w:unhideWhenUsed/>
    <w:rsid w:val="0035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DBD"/>
  </w:style>
  <w:style w:type="paragraph" w:styleId="Footer">
    <w:name w:val="footer"/>
    <w:basedOn w:val="Normal"/>
    <w:link w:val="FooterChar"/>
    <w:uiPriority w:val="99"/>
    <w:unhideWhenUsed/>
    <w:rsid w:val="0035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DBD"/>
  </w:style>
  <w:style w:type="paragraph" w:styleId="BodyText">
    <w:name w:val="Body Text"/>
    <w:basedOn w:val="Normal"/>
    <w:link w:val="BodyTextChar"/>
    <w:uiPriority w:val="1"/>
    <w:qFormat/>
    <w:rsid w:val="00206D9D"/>
    <w:pPr>
      <w:widowControl w:val="0"/>
      <w:spacing w:after="0" w:line="240" w:lineRule="auto"/>
      <w:ind w:left="111"/>
    </w:pPr>
    <w:rPr>
      <w:rFonts w:ascii="Arial" w:eastAsia="Arial" w:hAnsi="Arial" w:cs="Times New Roman"/>
      <w:lang w:val="en-US"/>
    </w:rPr>
  </w:style>
  <w:style w:type="character" w:customStyle="1" w:styleId="BodyTextChar">
    <w:name w:val="Body Text Char"/>
    <w:basedOn w:val="DefaultParagraphFont"/>
    <w:link w:val="BodyText"/>
    <w:uiPriority w:val="1"/>
    <w:rsid w:val="00206D9D"/>
    <w:rPr>
      <w:rFonts w:ascii="Arial" w:eastAsia="Arial" w:hAnsi="Arial" w:cs="Times New Roman"/>
      <w:lang w:val="en-US"/>
    </w:rPr>
  </w:style>
  <w:style w:type="table" w:styleId="TableGrid">
    <w:name w:val="Table Grid"/>
    <w:basedOn w:val="TableNormal"/>
    <w:uiPriority w:val="39"/>
    <w:rsid w:val="0022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
    <w:name w:val="# dot points"/>
    <w:basedOn w:val="Normal"/>
    <w:link w:val="dotpointsChar"/>
    <w:rsid w:val="00893AF4"/>
    <w:pPr>
      <w:keepLines/>
      <w:numPr>
        <w:numId w:val="18"/>
      </w:numPr>
      <w:spacing w:before="180" w:after="180" w:line="300" w:lineRule="auto"/>
      <w:ind w:left="357" w:hanging="357"/>
      <w:contextualSpacing/>
    </w:pPr>
    <w:rPr>
      <w:rFonts w:ascii="Tahoma" w:eastAsiaTheme="minorEastAsia" w:hAnsi="Tahoma" w:cs="Arial"/>
      <w:color w:val="000000" w:themeColor="text1"/>
      <w:szCs w:val="20"/>
    </w:rPr>
  </w:style>
  <w:style w:type="character" w:customStyle="1" w:styleId="dotpointsChar">
    <w:name w:val="# dot points Char"/>
    <w:basedOn w:val="DefaultParagraphFont"/>
    <w:link w:val="dotpoints"/>
    <w:rsid w:val="00893AF4"/>
    <w:rPr>
      <w:rFonts w:ascii="Tahoma" w:eastAsiaTheme="minorEastAsia" w:hAnsi="Tahoma" w:cs="Arial"/>
      <w:color w:val="000000" w:themeColor="text1"/>
      <w:szCs w:val="20"/>
    </w:rPr>
  </w:style>
  <w:style w:type="character" w:styleId="CommentReference">
    <w:name w:val="annotation reference"/>
    <w:basedOn w:val="DefaultParagraphFont"/>
    <w:uiPriority w:val="99"/>
    <w:semiHidden/>
    <w:unhideWhenUsed/>
    <w:rsid w:val="00FC0AB8"/>
    <w:rPr>
      <w:sz w:val="16"/>
      <w:szCs w:val="16"/>
    </w:rPr>
  </w:style>
  <w:style w:type="paragraph" w:styleId="CommentText">
    <w:name w:val="annotation text"/>
    <w:basedOn w:val="Normal"/>
    <w:link w:val="CommentTextChar"/>
    <w:uiPriority w:val="99"/>
    <w:semiHidden/>
    <w:unhideWhenUsed/>
    <w:rsid w:val="00FC0AB8"/>
    <w:pPr>
      <w:spacing w:line="240" w:lineRule="auto"/>
    </w:pPr>
    <w:rPr>
      <w:sz w:val="20"/>
      <w:szCs w:val="20"/>
    </w:rPr>
  </w:style>
  <w:style w:type="character" w:customStyle="1" w:styleId="CommentTextChar">
    <w:name w:val="Comment Text Char"/>
    <w:basedOn w:val="DefaultParagraphFont"/>
    <w:link w:val="CommentText"/>
    <w:uiPriority w:val="99"/>
    <w:semiHidden/>
    <w:rsid w:val="00FC0AB8"/>
    <w:rPr>
      <w:sz w:val="20"/>
      <w:szCs w:val="20"/>
    </w:rPr>
  </w:style>
  <w:style w:type="paragraph" w:styleId="CommentSubject">
    <w:name w:val="annotation subject"/>
    <w:basedOn w:val="CommentText"/>
    <w:next w:val="CommentText"/>
    <w:link w:val="CommentSubjectChar"/>
    <w:uiPriority w:val="99"/>
    <w:semiHidden/>
    <w:unhideWhenUsed/>
    <w:rsid w:val="00FC0AB8"/>
    <w:rPr>
      <w:b/>
      <w:bCs/>
    </w:rPr>
  </w:style>
  <w:style w:type="character" w:customStyle="1" w:styleId="CommentSubjectChar">
    <w:name w:val="Comment Subject Char"/>
    <w:basedOn w:val="CommentTextChar"/>
    <w:link w:val="CommentSubject"/>
    <w:uiPriority w:val="99"/>
    <w:semiHidden/>
    <w:rsid w:val="00FC0AB8"/>
    <w:rPr>
      <w:b/>
      <w:bCs/>
      <w:sz w:val="20"/>
      <w:szCs w:val="20"/>
    </w:rPr>
  </w:style>
  <w:style w:type="paragraph" w:styleId="Revision">
    <w:name w:val="Revision"/>
    <w:hidden/>
    <w:uiPriority w:val="99"/>
    <w:semiHidden/>
    <w:rsid w:val="00FC0AB8"/>
    <w:pPr>
      <w:spacing w:after="0" w:line="240" w:lineRule="auto"/>
    </w:pPr>
  </w:style>
  <w:style w:type="paragraph" w:styleId="Title">
    <w:name w:val="Title"/>
    <w:basedOn w:val="Normal"/>
    <w:next w:val="Normal"/>
    <w:link w:val="TitleChar"/>
    <w:uiPriority w:val="10"/>
    <w:qFormat/>
    <w:rsid w:val="001900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56"/>
    <w:rPr>
      <w:rFonts w:asciiTheme="majorHAnsi" w:eastAsiaTheme="majorEastAsia" w:hAnsiTheme="majorHAnsi" w:cstheme="majorBidi"/>
      <w:spacing w:val="-10"/>
      <w:kern w:val="28"/>
      <w:sz w:val="56"/>
      <w:szCs w:val="56"/>
    </w:rPr>
  </w:style>
  <w:style w:type="paragraph" w:styleId="NoSpacing">
    <w:name w:val="No Spacing"/>
    <w:uiPriority w:val="1"/>
    <w:qFormat/>
    <w:rsid w:val="00190056"/>
    <w:pPr>
      <w:spacing w:after="0" w:line="240" w:lineRule="auto"/>
    </w:pPr>
  </w:style>
  <w:style w:type="character" w:customStyle="1" w:styleId="Heading3Char">
    <w:name w:val="Heading 3 Char"/>
    <w:basedOn w:val="DefaultParagraphFont"/>
    <w:link w:val="Heading3"/>
    <w:uiPriority w:val="9"/>
    <w:rsid w:val="00190056"/>
    <w:rPr>
      <w:rFonts w:ascii="Calibri" w:eastAsiaTheme="majorEastAsia" w:hAnsi="Calibri" w:cstheme="majorBidi"/>
      <w:b/>
      <w:color w:val="1F3763" w:themeColor="accent1" w:themeShade="7F"/>
      <w:sz w:val="28"/>
      <w:szCs w:val="24"/>
    </w:rPr>
  </w:style>
  <w:style w:type="character" w:customStyle="1" w:styleId="Heading4Char">
    <w:name w:val="Heading 4 Char"/>
    <w:basedOn w:val="DefaultParagraphFont"/>
    <w:link w:val="Heading4"/>
    <w:uiPriority w:val="9"/>
    <w:rsid w:val="00190056"/>
    <w:rPr>
      <w:rFonts w:ascii="Calibri" w:eastAsiaTheme="majorEastAsia" w:hAnsi="Calibri" w:cstheme="majorBidi"/>
      <w:b/>
      <w:iCs/>
      <w:color w:val="538135" w:themeColor="accent6" w:themeShade="BF"/>
      <w:sz w:val="24"/>
    </w:rPr>
  </w:style>
  <w:style w:type="character" w:customStyle="1" w:styleId="Heading5Char">
    <w:name w:val="Heading 5 Char"/>
    <w:basedOn w:val="DefaultParagraphFont"/>
    <w:link w:val="Heading5"/>
    <w:uiPriority w:val="9"/>
    <w:rsid w:val="006777BC"/>
    <w:rPr>
      <w:rFonts w:ascii="Calibri" w:eastAsiaTheme="majorEastAsia" w:hAnsi="Calibri" w:cstheme="majorBidi"/>
      <w:b/>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532">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689746892">
      <w:bodyDiv w:val="1"/>
      <w:marLeft w:val="0"/>
      <w:marRight w:val="0"/>
      <w:marTop w:val="0"/>
      <w:marBottom w:val="0"/>
      <w:divBdr>
        <w:top w:val="none" w:sz="0" w:space="0" w:color="auto"/>
        <w:left w:val="none" w:sz="0" w:space="0" w:color="auto"/>
        <w:bottom w:val="none" w:sz="0" w:space="0" w:color="auto"/>
        <w:right w:val="none" w:sz="0" w:space="0" w:color="auto"/>
      </w:divBdr>
    </w:div>
    <w:div w:id="18274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bf7b6-e268-425f-88bc-0e6a7fc5b6e3">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SharedWithUsers xmlns="4423d6e0-fa96-4e54-b49d-94365b24ff9a">
      <UserInfo>
        <DisplayName>Matt Nelson (DJSIR)</DisplayName>
        <AccountId>225</AccountId>
        <AccountType/>
      </UserInfo>
      <UserInfo>
        <DisplayName>Tim A Russell (DJSIR)</DisplayName>
        <AccountId>320</AccountId>
        <AccountType/>
      </UserInfo>
      <UserInfo>
        <DisplayName>Michaela Lobb (DJSIR)</DisplayName>
        <AccountId>2245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DB620D2B9BD954C98BF6D21496B999E" ma:contentTypeVersion="30" ma:contentTypeDescription="DEDJTR Document" ma:contentTypeScope="" ma:versionID="eda5a0419cd23075ead30e62afaa6ba8">
  <xsd:schema xmlns:xsd="http://www.w3.org/2001/XMLSchema" xmlns:xs="http://www.w3.org/2001/XMLSchema" xmlns:p="http://schemas.microsoft.com/office/2006/metadata/properties" xmlns:ns2="72567383-1e26-4692-bdad-5f5be69e1590" xmlns:ns3="4423d6e0-fa96-4e54-b49d-94365b24ff9a" xmlns:ns4="51fbf7b6-e268-425f-88bc-0e6a7fc5b6e3" targetNamespace="http://schemas.microsoft.com/office/2006/metadata/properties" ma:root="true" ma:fieldsID="0262c4d9d1f445f4baf561633305756c" ns2:_="" ns3:_="" ns4:_="">
    <xsd:import namespace="72567383-1e26-4692-bdad-5f5be69e1590"/>
    <xsd:import namespace="4423d6e0-fa96-4e54-b49d-94365b24ff9a"/>
    <xsd:import namespace="51fbf7b6-e268-425f-88bc-0e6a7fc5b6e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f7b6-e268-425f-88bc-0e6a7fc5b6e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14A4D-795C-466F-9779-1EB475375413}">
  <ds:schemaRefs>
    <ds:schemaRef ds:uri="http://schemas.microsoft.com/office/2006/metadata/properties"/>
    <ds:schemaRef ds:uri="http://www.w3.org/2000/xmlns/"/>
    <ds:schemaRef ds:uri="51fbf7b6-e268-425f-88bc-0e6a7fc5b6e3"/>
    <ds:schemaRef ds:uri="http://schemas.microsoft.com/office/infopath/2007/PartnerControls"/>
    <ds:schemaRef ds:uri="72567383-1e26-4692-bdad-5f5be69e1590"/>
    <ds:schemaRef ds:uri="4423d6e0-fa96-4e54-b49d-94365b24ff9a"/>
  </ds:schemaRefs>
</ds:datastoreItem>
</file>

<file path=customXml/itemProps2.xml><?xml version="1.0" encoding="utf-8"?>
<ds:datastoreItem xmlns:ds="http://schemas.openxmlformats.org/officeDocument/2006/customXml" ds:itemID="{E415DB9F-C43C-4765-8304-8419BE6EA3AB}">
  <ds:schemaRefs>
    <ds:schemaRef ds:uri="http://schemas.microsoft.com/office/2006/metadata/contentType"/>
    <ds:schemaRef ds:uri="http://schemas.microsoft.com/office/2006/metadata/properties/metaAttributes"/>
    <ds:schemaRef ds:uri="http://www.w3.org/2000/xmlns/"/>
    <ds:schemaRef ds:uri="http://www.w3.org/2001/XMLSchema"/>
    <ds:schemaRef ds:uri="72567383-1e26-4692-bdad-5f5be69e1590"/>
    <ds:schemaRef ds:uri="4423d6e0-fa96-4e54-b49d-94365b24ff9a"/>
    <ds:schemaRef ds:uri="51fbf7b6-e268-425f-88bc-0e6a7fc5b6e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4D40B-C354-4A40-BD86-43E44F938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Lobb (DJSIR)</dc:creator>
  <cp:keywords/>
  <dc:description/>
  <cp:lastModifiedBy>Davina A Noakes (DJSIR)</cp:lastModifiedBy>
  <cp:revision>8</cp:revision>
  <dcterms:created xsi:type="dcterms:W3CDTF">2025-02-04T02:37:00Z</dcterms:created>
  <dcterms:modified xsi:type="dcterms:W3CDTF">2025-02-04T04:08:00Z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0x010100611F6414DFB111E7BA88F9DF1743E31700DDB620D2B9BD954C98BF6D21496B999E</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1;#Employment Investment and Trade|55ce1999-68b6-4f37-bdce-009ad410cd2a</vt:lpwstr>
  </property>
  <property fmtid="{D5CDD505-2E9C-101B-9397-08002B2CF9AE}" pid="7" name="DEDJTRSecurityClassification">
    <vt:lpwstr/>
  </property>
  <property fmtid="{D5CDD505-2E9C-101B-9397-08002B2CF9AE}" pid="8" name="DEDJTRDivision">
    <vt:lpwstr>2;#Regional Development Victoria|11743595-2a6e-4ba8-94e3-7bd292d5296c</vt:lpwstr>
  </property>
  <property fmtid="{D5CDD505-2E9C-101B-9397-08002B2CF9AE}" pid="9" name="MSIP_Label_d00a4df9-c942-4b09-b23a-6c1023f6de27_Enabled">
    <vt:lpwstr>true</vt:lpwstr>
  </property>
  <property fmtid="{D5CDD505-2E9C-101B-9397-08002B2CF9AE}" pid="10" name="MSIP_Label_d00a4df9-c942-4b09-b23a-6c1023f6de27_SetDate">
    <vt:lpwstr>2024-04-22T00:22:50Z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ab059e1c-e715-4ddb-8d1a-5b590f80bce0</vt:lpwstr>
  </property>
  <property fmtid="{D5CDD505-2E9C-101B-9397-08002B2CF9AE}" pid="15" name="MSIP_Label_d00a4df9-c942-4b09-b23a-6c1023f6de27_ContentBits">
    <vt:lpwstr>3</vt:lpwstr>
  </property>
</Properties>
</file>